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7" w:type="default"/>
          <w:headerReference r:id="rId8" w:type="first"/>
          <w:footerReference r:id="rId9" w:type="default"/>
          <w:footerReference r:id="rId10" w:type="first"/>
          <w:pgSz w:h="16838" w:w="11906" w:orient="portrait"/>
          <w:pgMar w:bottom="2523" w:top="3147" w:left="1985" w:right="1985" w:header="0" w:footer="709"/>
          <w:pgNumType w:start="1"/>
          <w:cols w:equalWidth="0" w:num="2">
            <w:col w:space="708" w:w="3614"/>
            <w:col w:space="0" w:w="3614"/>
          </w:cols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Zawarcie umowy o współpracy – instrukcja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Niniejsza instrukcja określa standardową procedurę przygotowywania, procedowania oraz podpisywania umów o współpracy z partnerami zewnętrznymi w Akademii Sztuk Pięknych w Gdańsku.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Proces obejmuje pięć etapów: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Etap 1:  Zgłoszenie propozycji podjęcia współpracy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Opis: Dydaktyk lub jednostka organizacyjna inicjująca współpracę wypełnia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1155cc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formularz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zawierający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wstępne ustalenia dotyczące planowanego partnerstwa, w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tym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zakres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cel partnerstwa (np. organizacja konkursu/warsztatów/patronat/realizacja projektu),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dane kontaktowe osób odpowiedzialnych po stronie ASP oraz po stronie Partnera,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proponowane terminy/harmonogram działań,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inne istotne ustalenia (np. ewentualne zobowiązania finansowe/rzeczow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Etap 2:  Opracowanie treści umowy przez Biuro Współpracy oraz konsultacja jej zapisów z Działem  Prawnym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Opis: Biuro Współpracy sporządza wstępny projekt (draft) umowy na podstawie przekazanych danych. Sporządzony projekt jest przekazywany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przez Biuro Współpracy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 Działu Prawnego ASP w celu weryfikacji formalno-prawnej.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Etap 3: Przesłanie propozycji umowy partnerowi, negocjacje i uzgodnienia jej treści, akceptacja ostatecznej wersji umowy przez obie strony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Opis: Po uzyskaniu pozytywnej opinii prawnej Biuro Współpracy przekazuje projekt umowy do akceptacji Partnera. Na tym etapie strony zgłaszają ewentualne uwagi oraz negocjują ostateczną treść dokumentu.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Wszelkie istotne zmiany treści umowy zgłoszone przez Partnera są ponownie konsultowane z Działem Prawnym ASP oraz wnioskodawcą (dydaktykiem).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 przypadku występowania w umowie zobowiązań finansowych, umowa jest dodatkowo weryfikowana przez Dział Finansowy oraz Biuro Zamówień Publicznych.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Etap 4:  Wybór trybu i podpisanie umowy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Opis: Podpisanie umowy odbywa się w jednym z dwóch trybów, w zależności od rangi wydarzenia oraz uzgodnień z Partnerem: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Tryb A: Elektroniczny (standardowy) - Umowa w formacie PDF jest podpisywana kwalifikowanym podpisem elektronicznym przez Rektora oraz reprezentanta Partnera, a następnie wymieniana drogą mailową. Istnieje również możliwość podpisania umowy ręcznie w wersji papierowej i przesłania jej pocztą tradycyjną.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Tryb B: Uroczysty (reprezentacyjny) - Podpisanie umowy następuje podczas stacjonarnego spotkania władz Uczelni z przedstawicielami Partnera. W tym wariancie Biuro Współpracy zgłasza wydarzenie do Biura Promocji, które zapewnia obsługę fotograficzną oraz publikację relacji w mediach społecznościowych Uczelni.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Etap 5: Realizacja działań określonych w umowie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Opis: Działania określone w umowie prowadzone są bezpośrednio przez osoby kontaktowe wskazane w jej treści.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Biuro Współpracy włącza się w ich realizację na etapach wymagających wsparcia ogólnouczelnianego (np. przy organizacji konkursów o zasięgu ogólnouczelnianym, koordynacji procedur towarzyszących).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imes New Roman" w:cs="Times New Roman" w:eastAsia="Times New Roman" w:hAnsi="Times New Roman"/>
          <w:sz w:val="24"/>
          <w:szCs w:val="24"/>
        </w:rPr>
        <w:sectPr>
          <w:type w:val="continuous"/>
          <w:pgSz w:h="16838" w:w="11906" w:orient="portrait"/>
          <w:pgMar w:bottom="2523" w:top="3147" w:left="1985" w:right="1985" w:header="0" w:footer="709"/>
          <w:titlePg w:val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Korespondencja w sprawie zawarcia umowy o współpracy i/lub listu intencyjnego prowadzona jest w całości za pośrednictwem adresu mailowego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wspolpraca@asp.gda.pl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38" w:w="11906" w:orient="portrait"/>
          <w:pgMar w:bottom="2523" w:top="1916" w:left="1985" w:right="1985" w:header="0" w:footer="709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2523" w:top="1916" w:left="1985" w:right="1985" w:header="0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256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-1258569</wp:posOffset>
          </wp:positionH>
          <wp:positionV relativeFrom="paragraph">
            <wp:posOffset>-473074</wp:posOffset>
          </wp:positionV>
          <wp:extent cx="7560310" cy="1261745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310" cy="12617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-1259204</wp:posOffset>
          </wp:positionH>
          <wp:positionV relativeFrom="paragraph">
            <wp:posOffset>-642619</wp:posOffset>
          </wp:positionV>
          <wp:extent cx="7560310" cy="1261745"/>
          <wp:effectExtent b="0" l="0" r="0" t="0"/>
          <wp:wrapNone/>
          <wp:docPr id="3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310" cy="126174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-1256664</wp:posOffset>
          </wp:positionH>
          <wp:positionV relativeFrom="paragraph">
            <wp:posOffset>9525</wp:posOffset>
          </wp:positionV>
          <wp:extent cx="7560310" cy="1800225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310" cy="18002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>
    <w:name w:val="Normalny"/>
    <w:next w:val="Normalny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Domyślnaczcionkaakapitu">
    <w:name w:val="Domyślna czcionka akapitu"/>
    <w:next w:val="Domyślnaczcionkaakapitu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Nagłówek">
    <w:name w:val="Nagłówek"/>
    <w:basedOn w:val="Normalny"/>
    <w:next w:val="Nagłówek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NagłówekZnak">
    <w:name w:val="Nagłówek Znak"/>
    <w:basedOn w:val="Domyślnaczcionkaakapitu"/>
    <w:next w:val="NagłówekZnak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topka">
    <w:name w:val="Stopka"/>
    <w:basedOn w:val="Normalny"/>
    <w:next w:val="Stopk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pl-PL"/>
    </w:rPr>
  </w:style>
  <w:style w:type="character" w:styleId="StopkaZnak">
    <w:name w:val="Stopka Znak"/>
    <w:basedOn w:val="Domyślnaczcionkaakapitu"/>
    <w:next w:val="StopkaZnak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Tekstdymka">
    <w:name w:val="Tekst dymka"/>
    <w:basedOn w:val="Normalny"/>
    <w:next w:val="Tekstdymka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pl-PL"/>
    </w:rPr>
  </w:style>
  <w:style w:type="character" w:styleId="TekstdymkaZnak">
    <w:name w:val="Tekst dymka Znak"/>
    <w:next w:val="TekstdymkaZnak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l-PL"/>
    </w:rPr>
  </w:style>
  <w:style w:type="paragraph" w:styleId="Pa1">
    <w:name w:val="Pa1"/>
    <w:basedOn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24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color w:val="auto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l-PL"/>
    </w:rPr>
  </w:style>
  <w:style w:type="paragraph" w:styleId="Pa2">
    <w:name w:val="Pa2"/>
    <w:basedOn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241" w:lineRule="atLeast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color w:val="auto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pl-PL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cs.google.com/forms/d/1dubWNtwMSdSooBlrc91BhdO8vRL49DqYaPSsGga_jVo/edit" TargetMode="External"/><Relationship Id="rId10" Type="http://schemas.openxmlformats.org/officeDocument/2006/relationships/footer" Target="footer1.xml"/><Relationship Id="rId12" Type="http://schemas.openxmlformats.org/officeDocument/2006/relationships/hyperlink" Target="mailto:wspolpraca@asp.gda.pl" TargetMode="Externa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KGYLdm4wcquvDlIKZ4G+U1o+g==">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2019-01-18T09:02:00Z</dcterms:created>
  <dc:creator>marzena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