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0"/>
        </w:tabs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rtl w:val="0"/>
        </w:rPr>
        <w:t xml:space="preserve">Zasady realizacji wyjazdów na studia w ramach programu Erasmus+ do uczelni partnerskich w roku akademickim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 należy zrobić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u w:val="single"/>
          <w:rtl w:val="0"/>
        </w:rPr>
        <w:t xml:space="preserve">przed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wyjazdem:</w:t>
      </w:r>
    </w:p>
    <w:p w:rsidR="00000000" w:rsidDel="00000000" w:rsidP="00000000" w:rsidRDefault="00000000" w:rsidRPr="00000000" w14:paraId="00000005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Ustalić dokładny program studiów za granicą i podpisać „Porozumienie o programie zajęć”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Learning Agreement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w formie elektronicznej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Online Learning Agreement-OLA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06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Aby stworzyć OLA, należy wejść na stronę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80"/>
            <w:u w:val="single"/>
            <w:rtl w:val="0"/>
          </w:rPr>
          <w:t xml:space="preserve">https://www.learning-agreement.eu/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 kliknąć “Login to Access Your Learning Agreement”, zalogować się z konta uczelnianego Google i postępować zgodnie z instrukcjami.</w:t>
      </w:r>
    </w:p>
    <w:p w:rsidR="00000000" w:rsidDel="00000000" w:rsidP="00000000" w:rsidRDefault="00000000" w:rsidRPr="00000000" w14:paraId="00000007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Przy uzupełnianiu danych proszę zwrócić szczególną uwagę na następujące pola:</w:t>
      </w:r>
    </w:p>
    <w:p w:rsidR="00000000" w:rsidDel="00000000" w:rsidP="00000000" w:rsidRDefault="00000000" w:rsidRPr="00000000" w14:paraId="00000008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Academic year: należy uzupełnić 2025/2026</w:t>
      </w:r>
    </w:p>
    <w:p w:rsidR="00000000" w:rsidDel="00000000" w:rsidP="00000000" w:rsidRDefault="00000000" w:rsidRPr="00000000" w14:paraId="00000009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Field of Education, należy wybrać z listy rozwijalnej odpowiednio:</w:t>
      </w:r>
    </w:p>
    <w:tbl>
      <w:tblPr>
        <w:tblStyle w:val="Table1"/>
        <w:tblW w:w="91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62"/>
        <w:gridCol w:w="3071"/>
        <w:gridCol w:w="3071"/>
        <w:tblGridChange w:id="0">
          <w:tblGrid>
            <w:gridCol w:w="2962"/>
            <w:gridCol w:w="3071"/>
            <w:gridCol w:w="30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Kod ISCED</w:t>
            </w:r>
          </w:p>
        </w:tc>
        <w:tc>
          <w:tcPr/>
          <w:p w:rsidR="00000000" w:rsidDel="00000000" w:rsidP="00000000" w:rsidRDefault="00000000" w:rsidRPr="00000000" w14:paraId="0000000B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Nazwa Field of Education</w:t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Odpowiadający kierunek studiów na ASP w Gdańsku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0213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Fine arts</w:t>
            </w:r>
          </w:p>
        </w:tc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Malarstwo, Rzeźba, Grafika, Intermedia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0212</w:t>
            </w:r>
          </w:p>
        </w:tc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Fashion, interior and industrial design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Architektura wnętrz, Wzornictwo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0288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Interdisciplinary programmes involving broad field</w:t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Architektura przestrzeni kulturowych</w:t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 W rubryce Field of Education clarification należy doprecyzować nazwę kierunku, odpowiednio:</w:t>
      </w:r>
    </w:p>
    <w:tbl>
      <w:tblPr>
        <w:tblStyle w:val="Table2"/>
        <w:tblW w:w="91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86"/>
        <w:gridCol w:w="4650"/>
        <w:tblGridChange w:id="0">
          <w:tblGrid>
            <w:gridCol w:w="4486"/>
            <w:gridCol w:w="4650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Malarstwo</w:t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Painting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Rzeźba</w:t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Sculpture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Wzornictwo</w:t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Design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Architektura Wnętrz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Interior Design</w:t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Architektura Przestrzeni Kulturowych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Architecture of Cultural Spaces</w:t>
            </w:r>
          </w:p>
        </w:tc>
      </w:tr>
      <w:tr>
        <w:trPr>
          <w:cantSplit w:val="0"/>
          <w:trHeight w:val="218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Intermedia</w:t>
            </w:r>
          </w:p>
        </w:tc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Intermedia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Fotografia</w:t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Photography</w:t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Grafika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Graphic Arts</w:t>
            </w:r>
          </w:p>
        </w:tc>
      </w:tr>
    </w:tbl>
    <w:p w:rsidR="00000000" w:rsidDel="00000000" w:rsidP="00000000" w:rsidRDefault="00000000" w:rsidRPr="00000000" w14:paraId="00000028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d) Study cycle, należy wybrać z listy rozwijalnej odpowiednio:</w:t>
      </w:r>
    </w:p>
    <w:tbl>
      <w:tblPr>
        <w:tblStyle w:val="Table3"/>
        <w:tblW w:w="91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98"/>
        <w:gridCol w:w="4606"/>
        <w:tblGridChange w:id="0">
          <w:tblGrid>
            <w:gridCol w:w="4498"/>
            <w:gridCol w:w="46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Studia I stopnia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Bachelor or equivalent first cycle (EQF level 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Studia II stopnia, Jednolite studia magisterskie</w:t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Master or equivalent second cycle (EQF level 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Studia III stopnia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Doctorate or equivalent third cycle (EQF level 8)</w:t>
            </w:r>
          </w:p>
        </w:tc>
      </w:tr>
    </w:tbl>
    <w:p w:rsidR="00000000" w:rsidDel="00000000" w:rsidP="00000000" w:rsidRDefault="00000000" w:rsidRPr="00000000" w14:paraId="00000031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 Dane uczelni wysyłającej, czyli Akademii Sztuk Pięknych w Gdańsku</w:t>
      </w:r>
    </w:p>
    <w:p w:rsidR="00000000" w:rsidDel="00000000" w:rsidP="00000000" w:rsidRDefault="00000000" w:rsidRPr="00000000" w14:paraId="00000033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Kraj i nazwę uczelni (Country i name) należy wybrać z listy rozwijanej, a nie wpisywać ich ręcznie.</w:t>
      </w:r>
    </w:p>
    <w:p w:rsidR="00000000" w:rsidDel="00000000" w:rsidP="00000000" w:rsidRDefault="00000000" w:rsidRPr="00000000" w14:paraId="00000034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Faculty/Department, odpowiednio wpisują Państwo:</w:t>
      </w:r>
    </w:p>
    <w:tbl>
      <w:tblPr>
        <w:tblStyle w:val="Table4"/>
        <w:tblW w:w="91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98"/>
        <w:gridCol w:w="4606"/>
        <w:tblGridChange w:id="0">
          <w:tblGrid>
            <w:gridCol w:w="4498"/>
            <w:gridCol w:w="46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Wydział Architektury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Faculty of Architecture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Wydział Wzornictwa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Faculty of Design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Wydział Grafiki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Faculty of Graphic Arts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Wydział Malarstwa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Faculty of Painting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Wydział Rzeźby i Intermediów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71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Faculty of Sculpture and Intermedia</w:t>
            </w:r>
          </w:p>
        </w:tc>
      </w:tr>
    </w:tbl>
    <w:p w:rsidR="00000000" w:rsidDel="00000000" w:rsidP="00000000" w:rsidRDefault="00000000" w:rsidRPr="00000000" w14:paraId="0000003F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0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f) Sending Responsible Person</w:t>
      </w:r>
    </w:p>
    <w:p w:rsidR="00000000" w:rsidDel="00000000" w:rsidP="00000000" w:rsidRDefault="00000000" w:rsidRPr="00000000" w14:paraId="00000041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First name: Aleksandra</w:t>
      </w:r>
    </w:p>
    <w:p w:rsidR="00000000" w:rsidDel="00000000" w:rsidP="00000000" w:rsidRDefault="00000000" w:rsidRPr="00000000" w14:paraId="00000042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Last name: Paciorkiewicz</w:t>
      </w:r>
    </w:p>
    <w:p w:rsidR="00000000" w:rsidDel="00000000" w:rsidP="00000000" w:rsidRDefault="00000000" w:rsidRPr="00000000" w14:paraId="00000043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Position: Erasmus+ Coordinator</w:t>
      </w:r>
    </w:p>
    <w:p w:rsidR="00000000" w:rsidDel="00000000" w:rsidP="00000000" w:rsidRDefault="00000000" w:rsidRPr="00000000" w14:paraId="00000044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80"/>
            <w:u w:val="single"/>
            <w:rtl w:val="0"/>
          </w:rPr>
          <w:t xml:space="preserve">erasmus@asp.gda.pl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Phone number: 0048 58 301 21 40</w:t>
      </w:r>
    </w:p>
    <w:p w:rsidR="00000000" w:rsidDel="00000000" w:rsidP="00000000" w:rsidRDefault="00000000" w:rsidRPr="00000000" w14:paraId="00000046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g) Sending Administrative Contact Person</w:t>
      </w:r>
    </w:p>
    <w:p w:rsidR="00000000" w:rsidDel="00000000" w:rsidP="00000000" w:rsidRDefault="00000000" w:rsidRPr="00000000" w14:paraId="00000048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Tutaj wpisujecie Państwo dane osoby odpowiedzialnej za podpisanie Learning agreement na Państwa Wydziale, tj.:</w:t>
      </w:r>
    </w:p>
    <w:p w:rsidR="00000000" w:rsidDel="00000000" w:rsidP="00000000" w:rsidRDefault="00000000" w:rsidRPr="00000000" w14:paraId="00000049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Wydział Architektury – prof. ASP dr hab. Anna Wejkowska-Lipska, dean</w:t>
      </w:r>
    </w:p>
    <w:p w:rsidR="00000000" w:rsidDel="00000000" w:rsidP="00000000" w:rsidRDefault="00000000" w:rsidRPr="00000000" w14:paraId="0000004A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Wydział Wzornictwa – dr Patrycja Kruk, dean</w:t>
      </w:r>
    </w:p>
    <w:p w:rsidR="00000000" w:rsidDel="00000000" w:rsidP="00000000" w:rsidRDefault="00000000" w:rsidRPr="00000000" w14:paraId="0000004B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Wydział Grafiki – dr Kamil Kocurek, dean</w:t>
      </w:r>
    </w:p>
    <w:p w:rsidR="00000000" w:rsidDel="00000000" w:rsidP="00000000" w:rsidRDefault="00000000" w:rsidRPr="00000000" w14:paraId="0000004C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Wydział Malarstwa – prof. ASP dr hab. Marek Wrzesiński, dean</w:t>
      </w:r>
    </w:p>
    <w:p w:rsidR="00000000" w:rsidDel="00000000" w:rsidP="00000000" w:rsidRDefault="00000000" w:rsidRPr="00000000" w14:paraId="0000004D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Wydział Rzeźby i Intermediów –  prof. ASP dr hab. Tomasz Sobisz, dean</w:t>
      </w:r>
    </w:p>
    <w:p w:rsidR="00000000" w:rsidDel="00000000" w:rsidP="00000000" w:rsidRDefault="00000000" w:rsidRPr="00000000" w14:paraId="0000004E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h) Receiving Institution Information</w:t>
      </w:r>
    </w:p>
    <w:p w:rsidR="00000000" w:rsidDel="00000000" w:rsidP="00000000" w:rsidRDefault="00000000" w:rsidRPr="00000000" w14:paraId="00000050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 listy rozwijalnej należy wybrać kraj i nazwę uczelni przyjmującej, wpisać dane Receiving Responsible Person i Receiving Administrative Contact Person (w przypadku wątpliwości proszę skontaktować się z uczelnią przyjmującą w celu weryfikacji powyższych danych).</w:t>
      </w:r>
    </w:p>
    <w:p w:rsidR="00000000" w:rsidDel="00000000" w:rsidP="00000000" w:rsidRDefault="00000000" w:rsidRPr="00000000" w14:paraId="00000051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i) Proposed mobility Programme  </w:t>
      </w:r>
    </w:p>
    <w:p w:rsidR="00000000" w:rsidDel="00000000" w:rsidP="00000000" w:rsidRDefault="00000000" w:rsidRPr="00000000" w14:paraId="00000053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Należy tutaj wpisać planowane daty rozpoczęcia i zakończenia mobilności.</w:t>
      </w:r>
    </w:p>
    <w:p w:rsidR="00000000" w:rsidDel="00000000" w:rsidP="00000000" w:rsidRDefault="00000000" w:rsidRPr="00000000" w14:paraId="00000054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Ponadto, w tabeli A należy wpisać wybrane przedmioty z uczelni przyjmującej (ich suma musi wynosić minimum tyle, ile w trakcie danego semestru otrzymalibyście Państwo na ASP, np. 30 punktów ECTS).</w:t>
      </w:r>
    </w:p>
    <w:p w:rsidR="00000000" w:rsidDel="00000000" w:rsidP="00000000" w:rsidRDefault="00000000" w:rsidRPr="00000000" w14:paraId="00000055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Proszę pamiętać o wklejeniu linku prowadzącego bezpośrednio do programu!</w:t>
      </w:r>
    </w:p>
    <w:p w:rsidR="00000000" w:rsidDel="00000000" w:rsidP="00000000" w:rsidRDefault="00000000" w:rsidRPr="00000000" w14:paraId="00000056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tabeli B umieść wszystkie przedmioty z instytucji wysyłającej (ASP), które są zaplanowane na semestr wyjazdu. </w:t>
      </w:r>
    </w:p>
    <w:p w:rsidR="00000000" w:rsidDel="00000000" w:rsidP="00000000" w:rsidRDefault="00000000" w:rsidRPr="00000000" w14:paraId="00000058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Component title – to nazwa przedmiotu w jęz. angielskim, component code – indywidualny kod przypisany danemu przedmiotowi (kody można pobrać z katalogu ECTS – klikając w sylabus danego przedmiotu, kod widoczny jest na dole strony: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80"/>
            <w:u w:val="single"/>
            <w:rtl w:val="0"/>
          </w:rPr>
          <w:t xml:space="preserve">https://akademus.asp.gda.pl/pl/katalog/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).</w:t>
      </w:r>
    </w:p>
    <w:p w:rsidR="00000000" w:rsidDel="00000000" w:rsidP="00000000" w:rsidRDefault="00000000" w:rsidRPr="00000000" w14:paraId="0000005A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Proszę pamiętać o wklejeniu wymaganych linków: w pierwszym wypadku bezpośredni link do Katalogu ECTS ASP, w drugiej rubryce należy wkleić link do Regulaminu studiów ASP. </w:t>
      </w:r>
    </w:p>
    <w:p w:rsidR="00000000" w:rsidDel="00000000" w:rsidP="00000000" w:rsidRDefault="00000000" w:rsidRPr="00000000" w14:paraId="0000005B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UWAGA – program studiów na uczelni partnerskiej musi odpowiadać programowi, który realizowany byłby w semestrze wyjazdu na ASP. Wszelkie odstępstwa od tej zasady będą rozpatrywane indywidualnie.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j) Po wypełnieniu wszystkich pól i dodaniu przedmiotów do OLA przejdź do następnego kroku i złóż elektronicznie podpis (na ekranie dotykowym lub za pomocą myszki komputerowej). Pamiętaj, że suma punktów ECTS, jakie musisz uzyskać w ciągu jednego semestru, wynosi zazwyczaj minimum 30 punktów ECTS.</w:t>
      </w:r>
    </w:p>
    <w:p w:rsidR="00000000" w:rsidDel="00000000" w:rsidP="00000000" w:rsidRDefault="00000000" w:rsidRPr="00000000" w14:paraId="0000005F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k) Po złożeniu podpisu, dokument podpisywany jest elektronicznie przez Koordynatora Programu Erasmus+ oraz osobę odpowiedzialną z uczelni przyjmującej. </w:t>
      </w:r>
    </w:p>
    <w:p w:rsidR="00000000" w:rsidDel="00000000" w:rsidP="00000000" w:rsidRDefault="00000000" w:rsidRPr="00000000" w14:paraId="00000061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Gdy dokument jest już podpisany przez wszystkie trzy strony, pracownicy Biura Współpracy wydrukują go i zanoszą do zatwierdzenia dziekanowi / prodziekanowi Twojego Wydziału na ASP. Tak zatwierdzony dokument przechowywany jest następnie w Biurze Współpracy. </w:t>
      </w:r>
    </w:p>
    <w:p w:rsidR="00000000" w:rsidDel="00000000" w:rsidP="00000000" w:rsidRDefault="00000000" w:rsidRPr="00000000" w14:paraId="00000062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WAŻNE – wszyscy studenci wyjeżdżający w roku akademickim 2025/2026 zobowiązani są do złożenia LA w wersji elektronicznej, zgodnie z powyższą instrukcją. Dokument musi zostać podpisany przez wszystkie strony (w tym dziekana/prodziekana ASP) przed rozpoczęciem wyjazdu!</w:t>
      </w:r>
    </w:p>
    <w:p w:rsidR="00000000" w:rsidDel="00000000" w:rsidP="00000000" w:rsidRDefault="00000000" w:rsidRPr="00000000" w14:paraId="00000064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dot. Online Learning Agreement dotyczy także osób, które uzupełniały LA w wersji tradycyjnej przed wysłaniem swojej aplikacji do uczelni partnerskich.</w:t>
      </w:r>
    </w:p>
    <w:p w:rsidR="00000000" w:rsidDel="00000000" w:rsidP="00000000" w:rsidRDefault="00000000" w:rsidRPr="00000000" w14:paraId="00000066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Zapoznać się z zapisami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Karty Studenta Erasmusa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dc2300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określającej prawa i obowiązki studenta Erasmusa.</w:t>
      </w:r>
    </w:p>
    <w:p w:rsidR="00000000" w:rsidDel="00000000" w:rsidP="00000000" w:rsidRDefault="00000000" w:rsidRPr="00000000" w14:paraId="00000068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Wypełnić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test językowy on-line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we wskazanym przez BWiU narzędziu OLS, uzgodnić z pracownikami Biura Współpracy i Umiędzynarodowienia fakt ewentualnego korzystania z kursu językowego (zaproszenie do testu językowego zostanie do Państwa wysłane na adres mailowy 2-3 tygodnie przed wyjazdem).</w:t>
      </w:r>
    </w:p>
    <w:p w:rsidR="00000000" w:rsidDel="00000000" w:rsidP="00000000" w:rsidRDefault="00000000" w:rsidRPr="00000000" w14:paraId="0000006A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Uzupełnić w systemie Akademus we wniosku składanym podczas rekrutacji na wyjazd w ramach programu Erasmus+, w zakładce „konto bankowe”,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numer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osobistego konta walutowego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studenta wraz z dokładną nazwą i adresem banku oraz numerem SWIFT. Stypendium dla studentów programu Erasmus+ wypłacane jest w walucie EURO. Stypendium dla osób, które na etapie rekrutacji otrzymywały stypendium socjalne, wypłacane jest w złotówkach – osoby te nie mają obowiązku posiadania konta walutowego.</w:t>
      </w:r>
    </w:p>
    <w:p w:rsidR="00000000" w:rsidDel="00000000" w:rsidP="00000000" w:rsidRDefault="00000000" w:rsidRPr="00000000" w14:paraId="0000006C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Odebrać z Biura Współpracy i Umiędzynarodowienia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zaświadczenie do Narodowego Funduszu Zdrowia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 wyjeździe w celach nauki za granicą, na którego podstawie wydana mu zostanie tzw.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Europejska Karta Ubezpieczenia Zdrowotnego.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Student zobowiązany jest w tym celu udać się do najbliższej placówki NFZ (w Gdańsku - ul. Podwale Staromiejskie 69). Karta zapewnia podstawową opiekę zdrowotną w krajach UE, i jest wydawana bezpłatnie. Po uzyskaniu EKUZ, student jest zobowiązany dostarczyć kopię lub skan karty do koordynatora programu Erasmus.</w:t>
      </w:r>
    </w:p>
    <w:p w:rsidR="00000000" w:rsidDel="00000000" w:rsidP="00000000" w:rsidRDefault="00000000" w:rsidRPr="00000000" w14:paraId="0000006E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Wykupić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ubezpieczenie od Następstw Nieszczęśliwych Wypadków (obowiązkowe) i od kosztów leczenia (zalecane)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Student wykupuje je indywidualnie na czas podróży i pobytu w uczelni partnerskiej. Po wykupieniu ubezpieczenia (może być ubezpieczenie oferowane przy zakupie karty Euro 26 lub ISIC) proszę o dostarczenie numeru polisy ubezpieczeniowej i nazwy ubezpieczyciela, w celu wpisania danych do umowy (kopia lub skan).</w:t>
      </w:r>
    </w:p>
    <w:p w:rsidR="00000000" w:rsidDel="00000000" w:rsidP="00000000" w:rsidRDefault="00000000" w:rsidRPr="00000000" w14:paraId="00000070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KRAJE POZA UE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W przypadku osób wyjeżdżających do krajów nienależących do Unii Europejskiej, karta EKUZ nie ma zastosowania, a uczestnik mobilności zobligowany jest do wykupienia prywatnego ubezpieczenia zdrowotnego o równorzędnym zakresie. Ponadto należy także uzyskać wizę na wyjazd w celach edukacyjnych – w tym celu niezbędne jest uzyskanie potwierdzenia z Biura Współpracy i Umiędzynarodowienia oraz od uczelni partnerskiej dot. uczestnictwa w programie Erasmus+ w danym okresie.</w:t>
      </w:r>
    </w:p>
    <w:p w:rsidR="00000000" w:rsidDel="00000000" w:rsidP="00000000" w:rsidRDefault="00000000" w:rsidRPr="00000000" w14:paraId="00000072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Podpisać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umowę finansową z ASP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 dwóch egzemplarzach po jednym dla każdej ze stron (określa warunki wyjazdu, czas pobytu, wysokość przyznanego stypendium itd.). Umowa podpisywana jest przez studenta oraz Prorektora ds. Współpracy i Promocji.</w:t>
      </w:r>
    </w:p>
    <w:p w:rsidR="00000000" w:rsidDel="00000000" w:rsidP="00000000" w:rsidRDefault="00000000" w:rsidRPr="00000000" w14:paraId="00000074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Zdobyć wszystkie zaliczenia i wpisy w systemie Akademus w semestrze poprzedzającym wyjazd.</w:t>
      </w:r>
    </w:p>
    <w:p w:rsidR="00000000" w:rsidDel="00000000" w:rsidP="00000000" w:rsidRDefault="00000000" w:rsidRPr="00000000" w14:paraId="00000076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Studenci, dla których rok 2025/2026 będzie rokiem dyplomowym, zobowiązani są dostarczyć pisemną zgodę dziekana na odbycie wyjazdu w ramach programu Erasmus+ (możliwy wyjazd tylko w semestrze zimowym).</w:t>
      </w:r>
    </w:p>
    <w:p w:rsidR="00000000" w:rsidDel="00000000" w:rsidP="00000000" w:rsidRDefault="00000000" w:rsidRPr="00000000" w14:paraId="00000078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Wszyscy studenci zobowiązani są do uzupełnienia ewentualnych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różnic programowych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wskazanych przez władze macierzystego Wydziału. Jedną z obowiązkowych różnic programowych jest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egzamin z języka angielskiego,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jeśli wyjazd w ramach programu Erasmus+ jest realizowany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następujących semestrach:</w:t>
      </w:r>
    </w:p>
    <w:p w:rsidR="00000000" w:rsidDel="00000000" w:rsidP="00000000" w:rsidRDefault="00000000" w:rsidRPr="00000000" w14:paraId="0000007A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Studia stacjonarne I stopnia – egzamin na 4 semestrze studiów,</w:t>
      </w:r>
    </w:p>
    <w:p w:rsidR="00000000" w:rsidDel="00000000" w:rsidP="00000000" w:rsidRDefault="00000000" w:rsidRPr="00000000" w14:paraId="0000007B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Studia stacjonarne II stopnia – egzamin na 2 semestrze studiów,</w:t>
      </w:r>
    </w:p>
    <w:p w:rsidR="00000000" w:rsidDel="00000000" w:rsidP="00000000" w:rsidRDefault="00000000" w:rsidRPr="00000000" w14:paraId="0000007C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Studia jednolite magisterskie – egzamin na 4 i 8 semestrze studiów,</w:t>
      </w:r>
    </w:p>
    <w:p w:rsidR="00000000" w:rsidDel="00000000" w:rsidP="00000000" w:rsidRDefault="00000000" w:rsidRPr="00000000" w14:paraId="0000007D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Studia niestacjonarne I stopnia – egzamin na 6 semestrze.</w:t>
      </w:r>
    </w:p>
    <w:p w:rsidR="00000000" w:rsidDel="00000000" w:rsidP="00000000" w:rsidRDefault="00000000" w:rsidRPr="00000000" w14:paraId="0000007E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celu uzgodnienia formy i terminu powyższego egzaminu, należy skontaktować się z lektorem_ką języka angielskiego oraz z Sekcją Toku Studiów.</w:t>
      </w:r>
    </w:p>
    <w:p w:rsidR="00000000" w:rsidDel="00000000" w:rsidP="00000000" w:rsidRDefault="00000000" w:rsidRPr="00000000" w14:paraId="00000080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W przypadku studentów studiów II stopnia, Akademia Sztuk Pięknych w Gdańsku rekomenduje wyjazdy na drugim i trzecim semestrze studiów.</w:t>
      </w:r>
    </w:p>
    <w:p w:rsidR="00000000" w:rsidDel="00000000" w:rsidP="00000000" w:rsidRDefault="00000000" w:rsidRPr="00000000" w14:paraId="00000082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 Akademia Sztuk Pięknych w Gdańsku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nie wyraża zgody na realizację wyjazdów na studia na ostatnim semestrze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bezpośrednio poprzedzającym ukończenie studiów na danym poziomie (tj. nie wyraża zgody na wyjazdy na 6 semestrze studiów I stopnia, 4 semestrze studiów II stopnia, 10 semestrze studiów jednolitych magisterskich itd.).</w:t>
      </w:r>
    </w:p>
    <w:p w:rsidR="00000000" w:rsidDel="00000000" w:rsidP="00000000" w:rsidRDefault="00000000" w:rsidRPr="00000000" w14:paraId="00000084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 Akademia Sztuk Pięknych w Gdańsku zobowiązuje studentów realizujących wyjazd w celu odbycia części studiów za granicą w ramach programu Erasmus+ do uzyskania na uczelni zagranicznej liczby pkt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ECTS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 najmniej równoważnej liczbie pkt ECTS, którą student uzyskałby, realizując dany semestr na uczelni macierzystej (zazwyczaj 30 pkt ECTS).</w:t>
      </w:r>
    </w:p>
    <w:p w:rsidR="00000000" w:rsidDel="00000000" w:rsidP="00000000" w:rsidRDefault="00000000" w:rsidRPr="00000000" w14:paraId="00000086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 W przypadku wyznaczenia przez władze macierzystego Wydziału tzw. różnic programowych, które student jest zobowiązany uzupełnić na uczelni macierzystej w ramach semestru realizowanego na uczelni zagranicznej, student zobowiązany jest do uzyskania minimum 20 pkt ECTS na uczelni partnerskiej, przy czym suma pkt. uzyskanych łącznie na uczelni partnerskiej i uczelni macierzystej musi być co najmniej równoważna liczbie pkt ECTS, którą student uzyskałby, realizując dany semestr na uczelni macierzystej (zazwyczaj 30 pkt ECTS).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 należy zrobić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w trakcie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wyjazdu:</w:t>
      </w:r>
    </w:p>
    <w:p w:rsidR="00000000" w:rsidDel="00000000" w:rsidP="00000000" w:rsidRDefault="00000000" w:rsidRPr="00000000" w14:paraId="0000008A">
      <w:pPr>
        <w:tabs>
          <w:tab w:val="left" w:leader="none" w:pos="717"/>
        </w:tabs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Przestrzegać zasad i zobowiązań wynikających z umowy z uczelnią macierzystą.</w:t>
      </w:r>
    </w:p>
    <w:p w:rsidR="00000000" w:rsidDel="00000000" w:rsidP="00000000" w:rsidRDefault="00000000" w:rsidRPr="00000000" w14:paraId="0000008B">
      <w:pPr>
        <w:tabs>
          <w:tab w:val="left" w:leader="none" w:pos="717"/>
        </w:tabs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Uzgodnić z uczelnią macierzystą oraz przyjmującą wszelkie zmiany w programie zajęć i wprowadzić je do „Porozumienia o programie zajęć”. </w:t>
      </w:r>
    </w:p>
    <w:p w:rsidR="00000000" w:rsidDel="00000000" w:rsidP="00000000" w:rsidRDefault="00000000" w:rsidRPr="00000000" w14:paraId="0000008C">
      <w:pPr>
        <w:tabs>
          <w:tab w:val="left" w:leader="none" w:pos="717"/>
        </w:tabs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Wprowadzeniu zmian służy część „changes” w Online Learning Agreement.</w:t>
      </w:r>
    </w:p>
    <w:p w:rsidR="00000000" w:rsidDel="00000000" w:rsidP="00000000" w:rsidRDefault="00000000" w:rsidRPr="00000000" w14:paraId="0000008D">
      <w:pPr>
        <w:tabs>
          <w:tab w:val="left" w:leader="none" w:pos="717"/>
        </w:tabs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717"/>
        </w:tabs>
        <w:spacing w:after="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 należy zrobić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po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powrocie:</w:t>
      </w:r>
    </w:p>
    <w:p w:rsidR="00000000" w:rsidDel="00000000" w:rsidP="00000000" w:rsidRDefault="00000000" w:rsidRPr="00000000" w14:paraId="0000008F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Dostarczyć do uczelni macierzystej wypełniony i podpisany w uczelni zagranicznej dokument Wykaz Zaliczeń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Transcript of Records lub ,,After the Mobility” z Learning Agreement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w terminie wymienionym w umowie.</w:t>
      </w:r>
    </w:p>
    <w:p w:rsidR="00000000" w:rsidDel="00000000" w:rsidP="00000000" w:rsidRDefault="00000000" w:rsidRPr="00000000" w14:paraId="00000090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Dostarczyć do uczelni macierzystej wypełniony i podpisany w uczelni zagranicznej dokument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Confirmation of stay lub Confirmation of study period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Dokument ten potwierdza okres studiów odbytych w uczelni partnerskiej. Dane wynikające z Confirmation of stay / study period mogą być umieszczone w Transcript of records, w ramach jednego dokumentu.</w:t>
      </w:r>
    </w:p>
    <w:p w:rsidR="00000000" w:rsidDel="00000000" w:rsidP="00000000" w:rsidRDefault="00000000" w:rsidRPr="00000000" w14:paraId="00000092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Po dostarczeniu Wykazu Zaliczeń do uczelni macierzystej, osiągnięcia zdobyte przez studenta podczas wyjazdu przeliczane są zgodnie z systemem ocen European Credit Transfer System (ECTS) na polski system oceniania, tak jak w tabeli poniżej:</w:t>
      </w:r>
    </w:p>
    <w:p w:rsidR="00000000" w:rsidDel="00000000" w:rsidP="00000000" w:rsidRDefault="00000000" w:rsidRPr="00000000" w14:paraId="00000094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9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0"/>
        <w:gridCol w:w="3260"/>
        <w:tblGridChange w:id="0">
          <w:tblGrid>
            <w:gridCol w:w="2660"/>
            <w:gridCol w:w="32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ECTS Grade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Local grade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5,5 or 5,0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4,5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4,0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3,0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2,0</w:t>
            </w:r>
          </w:p>
        </w:tc>
      </w:tr>
    </w:tbl>
    <w:p w:rsidR="00000000" w:rsidDel="00000000" w:rsidP="00000000" w:rsidRDefault="00000000" w:rsidRPr="00000000" w14:paraId="000000A3">
      <w:pPr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Zestaw ocen przygotowany na podstawie tej tabeli zostaje zweryfikowany przez Dziekana lub Prodziekana odpowiedniego wydziału.</w:t>
      </w:r>
    </w:p>
    <w:p w:rsidR="00000000" w:rsidDel="00000000" w:rsidP="00000000" w:rsidRDefault="00000000" w:rsidRPr="00000000" w14:paraId="000000A4">
      <w:pPr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Kiedy już decyzja Dziekana lub Prodziekana zostanie wydana, osiągnięcia studenta zostają wpisane do indeksu z adnotacją mówiącą o tym, że dany semestr studiów został zrealizowany podczas programu Erasmus+. Oceny te są wliczane do średniej na takiej samej zasadzie, jak reszta osiągnięć.</w:t>
      </w:r>
    </w:p>
    <w:p w:rsidR="00000000" w:rsidDel="00000000" w:rsidP="00000000" w:rsidRDefault="00000000" w:rsidRPr="00000000" w14:paraId="000000A5">
      <w:pPr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Wypełnić on-line tzw.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Indywidualny raport uczestnika (Participant Report Form)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Link do ankiety wraz ze wskazówkami dotyczącymi jej wypełnienia, otrzymają Państwo pod koniec pobytu w uczelni partnerskiej, na podany przez Państwa w trakcie procesu rekrutacji adres e-mail. </w:t>
      </w:r>
    </w:p>
    <w:p w:rsidR="00000000" w:rsidDel="00000000" w:rsidP="00000000" w:rsidRDefault="00000000" w:rsidRPr="00000000" w14:paraId="000000A6">
      <w:pPr>
        <w:spacing w:after="0" w:before="20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Uzupełnić wewnętrzną ankietę dotyczącą uczelni partnerskiej.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A7">
      <w:pPr>
        <w:spacing w:after="0" w:before="2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7" w:w="11905" w:orient="portrait"/>
      <w:pgMar w:bottom="1702" w:top="601" w:left="1418" w:right="1415" w:header="0" w:footer="4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3513145</wp:posOffset>
          </wp:positionH>
          <wp:positionV relativeFrom="paragraph">
            <wp:posOffset>19051</wp:posOffset>
          </wp:positionV>
          <wp:extent cx="2243610" cy="468699"/>
          <wp:effectExtent b="0" l="0" r="0" t="0"/>
          <wp:wrapNone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43610" cy="46869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360" w:lineRule="auto"/>
      <w:rPr>
        <w:rFonts w:ascii="Verdana" w:cs="Verdana" w:eastAsia="Verdana" w:hAnsi="Verdana"/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rPr>
        <w:color w:val="00000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-885821</wp:posOffset>
          </wp:positionH>
          <wp:positionV relativeFrom="paragraph">
            <wp:posOffset>0</wp:posOffset>
          </wp:positionV>
          <wp:extent cx="7560310" cy="1800225"/>
          <wp:effectExtent b="0" l="0" r="0" t="0"/>
          <wp:wrapNone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310" cy="18002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widowControl w:val="0"/>
      <w:tabs>
        <w:tab w:val="left" w:leader="none" w:pos="0"/>
      </w:tabs>
      <w:spacing w:after="283" w:before="240" w:line="240" w:lineRule="auto"/>
    </w:pPr>
    <w:rPr>
      <w:rFonts w:ascii="Times New Roman" w:cs="Times New Roman" w:eastAsia="Times New Roman" w:hAnsi="Times New Roman"/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agwek9">
    <w:name w:val="heading 9"/>
    <w:basedOn w:val="Normalny"/>
    <w:next w:val="Normalny"/>
    <w:qFormat w:val="1"/>
    <w:pPr>
      <w:numPr>
        <w:ilvl w:val="8"/>
        <w:numId w:val="1"/>
      </w:numPr>
      <w:spacing w:after="60" w:before="240"/>
      <w:outlineLvl w:val="8"/>
    </w:pPr>
    <w:rPr>
      <w:rFonts w:ascii="Cambria" w:cs="Times New Roman" w:eastAsia="Times New Roman" w:hAnsi="Cambria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2z0" w:customStyle="1">
    <w:name w:val="WW8Num2z0"/>
    <w:rPr>
      <w:i w:val="0"/>
    </w:rPr>
  </w:style>
  <w:style w:type="character" w:styleId="WW8Num2z1" w:customStyle="1">
    <w:name w:val="WW8Num2z1"/>
    <w:rPr>
      <w:rFonts w:ascii="Symbol" w:hAnsi="Symbol"/>
      <w:color w:val="auto"/>
    </w:rPr>
  </w:style>
  <w:style w:type="character" w:styleId="WW8Num2z2" w:customStyle="1">
    <w:name w:val="WW8Num2z2"/>
    <w:rPr>
      <w:rFonts w:ascii="Symbol" w:hAnsi="Symbol"/>
    </w:rPr>
  </w:style>
  <w:style w:type="character" w:styleId="WW8Num3z0" w:customStyle="1">
    <w:name w:val="WW8Num3z0"/>
    <w:rPr>
      <w:rFonts w:ascii="Symbol" w:cs="StarSymbol" w:hAnsi="Symbol"/>
      <w:sz w:val="28"/>
      <w:szCs w:val="28"/>
    </w:rPr>
  </w:style>
  <w:style w:type="character" w:styleId="WW8Num4z0" w:customStyle="1">
    <w:name w:val="WW8Num4z0"/>
    <w:rPr>
      <w:rFonts w:ascii="Verdana" w:cs="Tahoma" w:eastAsia="Calibri" w:hAnsi="Verdana"/>
    </w:rPr>
  </w:style>
  <w:style w:type="character" w:styleId="WW8Num5z0" w:customStyle="1">
    <w:name w:val="WW8Num5z0"/>
    <w:rPr>
      <w:rFonts w:ascii="Symbol" w:hAnsi="Symbol"/>
      <w:sz w:val="20"/>
    </w:rPr>
  </w:style>
  <w:style w:type="character" w:styleId="WW8Num6z0" w:customStyle="1">
    <w:name w:val="WW8Num6z0"/>
    <w:rPr>
      <w:rFonts w:ascii="Symbol" w:hAnsi="Symbol"/>
      <w:sz w:val="20"/>
    </w:rPr>
  </w:style>
  <w:style w:type="character" w:styleId="WW8Num7z0" w:customStyle="1">
    <w:name w:val="WW8Num7z0"/>
    <w:rPr>
      <w:rFonts w:ascii="Symbol" w:hAnsi="Symbol"/>
      <w:sz w:val="20"/>
    </w:rPr>
  </w:style>
  <w:style w:type="character" w:styleId="WW8Num8z0" w:customStyle="1">
    <w:name w:val="WW8Num8z0"/>
    <w:rPr>
      <w:rFonts w:ascii="Symbol" w:hAnsi="Symbol"/>
    </w:rPr>
  </w:style>
  <w:style w:type="character" w:styleId="WW8Num8z1" w:customStyle="1">
    <w:name w:val="WW8Num8z1"/>
    <w:rPr>
      <w:rFonts w:ascii="Courier New" w:hAnsi="Courier New"/>
    </w:rPr>
  </w:style>
  <w:style w:type="character" w:styleId="WW8Num8z2" w:customStyle="1">
    <w:name w:val="WW8Num8z2"/>
    <w:rPr>
      <w:rFonts w:ascii="Wingdings" w:hAnsi="Wingdings"/>
    </w:rPr>
  </w:style>
  <w:style w:type="character" w:styleId="WW8Num9z0" w:customStyle="1">
    <w:name w:val="WW8Num9z0"/>
    <w:rPr>
      <w:rFonts w:ascii="Symbol" w:hAnsi="Symbol"/>
      <w:sz w:val="20"/>
      <w:szCs w:val="20"/>
    </w:rPr>
  </w:style>
  <w:style w:type="character" w:styleId="WW8Num9z1" w:customStyle="1">
    <w:name w:val="WW8Num9z1"/>
    <w:rPr>
      <w:rFonts w:ascii="Courier New" w:cs="Courier New" w:hAnsi="Courier New"/>
    </w:rPr>
  </w:style>
  <w:style w:type="character" w:styleId="WW8Num9z2" w:customStyle="1">
    <w:name w:val="WW8Num9z2"/>
    <w:rPr>
      <w:rFonts w:ascii="Wingdings" w:hAnsi="Wingdings"/>
    </w:rPr>
  </w:style>
  <w:style w:type="character" w:styleId="WW8Num9z3" w:customStyle="1">
    <w:name w:val="WW8Num9z3"/>
    <w:rPr>
      <w:rFonts w:ascii="Symbol" w:hAnsi="Symbol"/>
    </w:rPr>
  </w:style>
  <w:style w:type="character" w:styleId="WW8Num10z0" w:customStyle="1">
    <w:name w:val="WW8Num10z0"/>
    <w:rPr>
      <w:rFonts w:ascii="Symbol" w:hAnsi="Symbol"/>
      <w:sz w:val="20"/>
    </w:rPr>
  </w:style>
  <w:style w:type="character" w:styleId="WW8Num10z1" w:customStyle="1">
    <w:name w:val="WW8Num10z1"/>
    <w:rPr>
      <w:rFonts w:ascii="Courier New" w:hAnsi="Courier New"/>
      <w:sz w:val="20"/>
    </w:rPr>
  </w:style>
  <w:style w:type="character" w:styleId="WW8Num10z2" w:customStyle="1">
    <w:name w:val="WW8Num10z2"/>
    <w:rPr>
      <w:rFonts w:ascii="Wingdings" w:hAnsi="Wingdings"/>
      <w:sz w:val="20"/>
    </w:rPr>
  </w:style>
  <w:style w:type="character" w:styleId="WW8Num11z0" w:customStyle="1">
    <w:name w:val="WW8Num11z0"/>
    <w:rPr>
      <w:rFonts w:ascii="Symbol" w:hAnsi="Symbol"/>
      <w:sz w:val="20"/>
    </w:rPr>
  </w:style>
  <w:style w:type="character" w:styleId="WW8Num11z1" w:customStyle="1">
    <w:name w:val="WW8Num11z1"/>
    <w:rPr>
      <w:rFonts w:ascii="Courier New" w:hAnsi="Courier New"/>
      <w:sz w:val="20"/>
    </w:rPr>
  </w:style>
  <w:style w:type="character" w:styleId="WW8Num11z2" w:customStyle="1">
    <w:name w:val="WW8Num11z2"/>
    <w:rPr>
      <w:rFonts w:ascii="Wingdings" w:hAnsi="Wingdings"/>
      <w:sz w:val="20"/>
    </w:rPr>
  </w:style>
  <w:style w:type="character" w:styleId="WW8Num12z0" w:customStyle="1">
    <w:name w:val="WW8Num12z0"/>
    <w:rPr>
      <w:rFonts w:ascii="Symbol" w:hAnsi="Symbol"/>
      <w:sz w:val="20"/>
    </w:rPr>
  </w:style>
  <w:style w:type="character" w:styleId="Domylnaczcionkaakapitu1" w:customStyle="1">
    <w:name w:val="Domyślna czcionka akapitu1"/>
  </w:style>
  <w:style w:type="character" w:styleId="TekstdymkaZnak" w:customStyle="1">
    <w:name w:val="Tekst dymka Znak"/>
    <w:basedOn w:val="Domylnaczcionkaakapitu1"/>
    <w:rPr>
      <w:rFonts w:ascii="Tahoma" w:cs="Tahoma" w:hAnsi="Tahoma"/>
      <w:sz w:val="16"/>
      <w:szCs w:val="16"/>
    </w:rPr>
  </w:style>
  <w:style w:type="character" w:styleId="NagwekZnak" w:customStyle="1">
    <w:name w:val="Nagłówek Znak"/>
    <w:basedOn w:val="Domylnaczcionkaakapitu1"/>
    <w:uiPriority w:val="99"/>
    <w:rPr>
      <w:sz w:val="22"/>
      <w:szCs w:val="22"/>
    </w:rPr>
  </w:style>
  <w:style w:type="character" w:styleId="StopkaZnak" w:customStyle="1">
    <w:name w:val="Stopka Znak"/>
    <w:basedOn w:val="Domylnaczcionkaakapitu1"/>
    <w:uiPriority w:val="99"/>
    <w:rPr>
      <w:sz w:val="22"/>
      <w:szCs w:val="22"/>
    </w:rPr>
  </w:style>
  <w:style w:type="character" w:styleId="Nagwek1Znak" w:customStyle="1">
    <w:name w:val="Nagłówek 1 Znak"/>
    <w:basedOn w:val="Domylnaczcionkaakapitu1"/>
    <w:rPr>
      <w:rFonts w:ascii="Times New Roman" w:cs="Tahoma" w:eastAsia="Lucida Sans Unicode" w:hAnsi="Times New Roman"/>
      <w:b w:val="1"/>
      <w:bCs w:val="1"/>
      <w:color w:val="000000"/>
      <w:sz w:val="48"/>
      <w:szCs w:val="48"/>
      <w:lang w:bidi="en-US" w:eastAsia="en-US" w:val="en-US"/>
    </w:rPr>
  </w:style>
  <w:style w:type="character" w:styleId="Hipercze">
    <w:name w:val="Hyperlink"/>
    <w:rPr>
      <w:color w:val="000080"/>
      <w:u w:val="single"/>
    </w:rPr>
  </w:style>
  <w:style w:type="character" w:styleId="TekstpodstawowyZnak" w:customStyle="1">
    <w:name w:val="Tekst podstawowy Znak"/>
    <w:basedOn w:val="Domylnaczcionkaakapitu1"/>
    <w:rPr>
      <w:rFonts w:ascii="Times New Roman" w:cs="Tahoma" w:eastAsia="Lucida Sans Unicode" w:hAnsi="Times New Roman"/>
      <w:color w:val="000000"/>
      <w:sz w:val="24"/>
      <w:szCs w:val="24"/>
      <w:lang w:bidi="en-US" w:eastAsia="en-US" w:val="en-US"/>
    </w:rPr>
  </w:style>
  <w:style w:type="character" w:styleId="Pogrubienie">
    <w:name w:val="Strong"/>
    <w:basedOn w:val="Domylnaczcionkaakapitu1"/>
    <w:qFormat w:val="1"/>
    <w:rPr>
      <w:b w:val="1"/>
      <w:bCs w:val="1"/>
    </w:rPr>
  </w:style>
  <w:style w:type="character" w:styleId="Uwydatnienie">
    <w:name w:val="Emphasis"/>
    <w:basedOn w:val="Domylnaczcionkaakapitu1"/>
    <w:qFormat w:val="1"/>
    <w:rPr>
      <w:i w:val="1"/>
      <w:iCs w:val="1"/>
    </w:rPr>
  </w:style>
  <w:style w:type="character" w:styleId="Nagwek9Znak" w:customStyle="1">
    <w:name w:val="Nagłówek 9 Znak"/>
    <w:basedOn w:val="Domylnaczcionkaakapitu1"/>
    <w:rPr>
      <w:rFonts w:ascii="Cambria" w:cs="Times New Roman" w:eastAsia="Times New Roman" w:hAnsi="Cambria"/>
      <w:sz w:val="22"/>
      <w:szCs w:val="22"/>
    </w:rPr>
  </w:style>
  <w:style w:type="paragraph" w:styleId="Nagwek10" w:customStyle="1">
    <w:name w:val="Nagłówek1"/>
    <w:basedOn w:val="Normalny"/>
    <w:next w:val="Tekstpodstawowy"/>
    <w:pPr>
      <w:keepNext w:val="1"/>
      <w:spacing w:after="120" w:before="240"/>
    </w:pPr>
    <w:rPr>
      <w:rFonts w:ascii="Arial" w:cs="Tahoma" w:eastAsia="Lucida Sans Unicode" w:hAnsi="Ari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283" w:line="240" w:lineRule="auto"/>
    </w:pPr>
    <w:rPr>
      <w:rFonts w:ascii="Times New Roman" w:cs="Tahoma" w:eastAsia="Lucida Sans Unicode" w:hAnsi="Times New Roman"/>
      <w:color w:val="000000"/>
      <w:sz w:val="24"/>
      <w:szCs w:val="24"/>
      <w:lang w:bidi="en-US" w:eastAsia="en-US" w:val="en-US"/>
    </w:rPr>
  </w:style>
  <w:style w:type="paragraph" w:styleId="Lista">
    <w:name w:val="List"/>
    <w:basedOn w:val="Tekstpodstawowy"/>
  </w:style>
  <w:style w:type="paragraph" w:styleId="Podpis1" w:customStyle="1">
    <w:name w:val="Podpis1"/>
    <w:basedOn w:val="Normalny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Indeks" w:customStyle="1">
    <w:name w:val="Indeks"/>
    <w:basedOn w:val="Normalny"/>
    <w:pPr>
      <w:suppressLineNumbers w:val="1"/>
    </w:pPr>
    <w:rPr>
      <w:rFonts w:cs="Tahoma"/>
    </w:rPr>
  </w:style>
  <w:style w:type="paragraph" w:styleId="Nagwek">
    <w:name w:val="header"/>
    <w:basedOn w:val="Normalny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Stopka">
    <w:name w:val="footer"/>
    <w:basedOn w:val="Normalny"/>
    <w:uiPriority w:val="99"/>
  </w:style>
  <w:style w:type="paragraph" w:styleId="NormalParagraphStyle" w:customStyle="1">
    <w:name w:val="NormalParagraphStyle"/>
    <w:basedOn w:val="Normalny"/>
    <w:pPr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xt" w:customStyle="1">
    <w:name w:val="text"/>
    <w:basedOn w:val="Normalny"/>
    <w:pPr>
      <w:spacing w:after="280" w:before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pPr>
      <w:spacing w:after="280" w:before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 w:val="1"/>
    <w:pPr>
      <w:ind w:left="720"/>
    </w:pPr>
    <w:rPr>
      <w:rFonts w:eastAsia="Times New Roman"/>
    </w:rPr>
  </w:style>
  <w:style w:type="paragraph" w:styleId="Styl1-DR" w:customStyle="1">
    <w:name w:val="Styl1-DR"/>
    <w:basedOn w:val="Nagwek9"/>
    <w:pPr>
      <w:keepNext w:val="1"/>
      <w:numPr>
        <w:numId w:val="0"/>
      </w:numPr>
      <w:spacing w:after="120" w:before="120" w:line="240" w:lineRule="auto"/>
      <w:jc w:val="center"/>
      <w:outlineLvl w:val="9"/>
    </w:pPr>
    <w:rPr>
      <w:rFonts w:ascii="Times New Roman" w:hAnsi="Times New Roman"/>
      <w:b w:val="1"/>
      <w:smallCaps w:val="1"/>
      <w:sz w:val="24"/>
      <w:szCs w:val="24"/>
    </w:rPr>
  </w:style>
  <w:style w:type="paragraph" w:styleId="Zawartotabeli" w:customStyle="1">
    <w:name w:val="Zawartość tabeli"/>
    <w:basedOn w:val="Normalny"/>
    <w:pPr>
      <w:suppressLineNumbers w:val="1"/>
    </w:pPr>
  </w:style>
  <w:style w:type="paragraph" w:styleId="Nagwektabeli" w:customStyle="1">
    <w:name w:val="Nagłówek tabeli"/>
    <w:basedOn w:val="Zawartotabeli"/>
    <w:pPr>
      <w:jc w:val="center"/>
    </w:pPr>
    <w:rPr>
      <w:b w:val="1"/>
      <w:bCs w:val="1"/>
    </w:rPr>
  </w:style>
  <w:style w:type="paragraph" w:styleId="Zawartoramki" w:customStyle="1">
    <w:name w:val="Zawartość ramki"/>
    <w:basedOn w:val="Tekstpodstawowy"/>
  </w:style>
  <w:style w:type="paragraph" w:styleId="Data">
    <w:name w:val="Date"/>
    <w:basedOn w:val="Normalny"/>
    <w:next w:val="Normalny"/>
    <w:link w:val="DataZnak"/>
    <w:uiPriority w:val="99"/>
    <w:semiHidden w:val="1"/>
    <w:unhideWhenUsed w:val="1"/>
    <w:rsid w:val="009414DB"/>
  </w:style>
  <w:style w:type="character" w:styleId="DataZnak" w:customStyle="1">
    <w:name w:val="Data Znak"/>
    <w:basedOn w:val="Domylnaczcionkaakapitu"/>
    <w:link w:val="Data"/>
    <w:uiPriority w:val="99"/>
    <w:semiHidden w:val="1"/>
    <w:rsid w:val="009414DB"/>
    <w:rPr>
      <w:rFonts w:ascii="Calibri" w:cs="Calibri" w:eastAsia="Calibri" w:hAnsi="Calibri"/>
      <w:sz w:val="22"/>
      <w:szCs w:val="22"/>
      <w:lang w:eastAsia="ar-SA"/>
    </w:rPr>
  </w:style>
  <w:style w:type="table" w:styleId="Tabela-Siatka">
    <w:name w:val="Table Grid"/>
    <w:basedOn w:val="Standardowy"/>
    <w:uiPriority w:val="59"/>
    <w:rsid w:val="001F126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yteHipercze">
    <w:name w:val="FollowedHyperlink"/>
    <w:basedOn w:val="Domylnaczcionkaakapitu"/>
    <w:uiPriority w:val="99"/>
    <w:semiHidden w:val="1"/>
    <w:unhideWhenUsed w:val="1"/>
    <w:rsid w:val="002223B8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D34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D342C0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D342C0"/>
    <w:rPr>
      <w:rFonts w:ascii="Calibri" w:cs="Calibri" w:eastAsia="Calibri" w:hAnsi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D342C0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D342C0"/>
    <w:rPr>
      <w:rFonts w:ascii="Calibri" w:cs="Calibri" w:eastAsia="Calibri" w:hAnsi="Calibri"/>
      <w:b w:val="1"/>
      <w:bCs w:val="1"/>
      <w:lang w:eastAsia="ar-SA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akademus.asp.gda.pl/pl/katalog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earning-agreement.eu/" TargetMode="External"/><Relationship Id="rId8" Type="http://schemas.openxmlformats.org/officeDocument/2006/relationships/hyperlink" Target="mailto:erasmus.outgoing@asp.gda.pl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zuKVhH34W7sFw2EWl75XHOniKQ==">CgMxLjAyCGguZ2pkZ3hzMgloLjMwajB6bGwyCWguMWZvYjl0ZTgAciExaEhPQlB0dmEya19SWUFETU9jMmtnN0x6RmNBNXBZaEE=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2020-02-04T10:58:00Z</dcterms:created>
</cp:coreProperties>
</file>