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0"/>
        </w:tabs>
        <w:spacing w:after="0" w:lineRule="auto"/>
        <w:jc w:val="righ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Załącznik nr 1 do zarządzenia nr …….</w:t>
      </w:r>
    </w:p>
    <w:p w:rsidR="00000000" w:rsidDel="00000000" w:rsidP="00000000" w:rsidRDefault="00000000" w:rsidRPr="00000000" w14:paraId="00000002">
      <w:pPr>
        <w:tabs>
          <w:tab w:val="left" w:leader="none" w:pos="0"/>
        </w:tabs>
        <w:spacing w:after="0" w:lineRule="auto"/>
        <w:jc w:val="righ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Rektora Akademii Sztuk Pięknych</w:t>
      </w:r>
    </w:p>
    <w:p w:rsidR="00000000" w:rsidDel="00000000" w:rsidP="00000000" w:rsidRDefault="00000000" w:rsidRPr="00000000" w14:paraId="00000003">
      <w:pPr>
        <w:tabs>
          <w:tab w:val="left" w:leader="none" w:pos="0"/>
        </w:tabs>
        <w:spacing w:after="0" w:lineRule="auto"/>
        <w:jc w:val="right"/>
        <w:rPr>
          <w:rFonts w:ascii="Times New Roman" w:cs="Times New Roman" w:eastAsia="Times New Roman" w:hAnsi="Times New Roman"/>
          <w:sz w:val="20"/>
          <w:szCs w:val="20"/>
        </w:rPr>
      </w:pPr>
      <w:bookmarkStart w:colFirst="0" w:colLast="0" w:name="_heading=h.30j0zll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z dnia ……… roku</w:t>
      </w:r>
    </w:p>
    <w:p w:rsidR="00000000" w:rsidDel="00000000" w:rsidP="00000000" w:rsidRDefault="00000000" w:rsidRPr="00000000" w14:paraId="00000004">
      <w:pPr>
        <w:tabs>
          <w:tab w:val="left" w:leader="none" w:pos="0"/>
        </w:tabs>
        <w:spacing w:after="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0"/>
        </w:tabs>
        <w:spacing w:after="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0"/>
        </w:tabs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Zasady rekrutacji na wyjazdy na studia w ramach programu Erasmus+ dla studentów ASP w Gdańsku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w roku akademickim 2025/2026, </w:t>
      </w:r>
    </w:p>
    <w:p w:rsidR="00000000" w:rsidDel="00000000" w:rsidP="00000000" w:rsidRDefault="00000000" w:rsidRPr="00000000" w14:paraId="00000007">
      <w:pPr>
        <w:tabs>
          <w:tab w:val="left" w:leader="none" w:pos="0"/>
        </w:tabs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realizowane w ramach projektu objętego umową nr 2024-1-PL01-KA131-HED-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000197242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0"/>
        </w:tabs>
        <w:spacing w:after="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240" w:lineRule="auto"/>
        <w:jc w:val="both"/>
        <w:rPr>
          <w:rFonts w:ascii="Times New Roman" w:cs="Times New Roman" w:eastAsia="Times New Roman" w:hAnsi="Times New Roman"/>
          <w:b w:val="1"/>
          <w:i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I Zasady ogólne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1. Erasmus+ to program Unii Europejskiej wspierający edukację, szkolenia, inicjatywy młodzieżowe oraz sportowe w całej Europie. 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Erasmus+, Akcja 1 jest programem skierowanym między innymi do uczelni, ich studentów i pracowników. W niektórych jego działaniach mogą uczestniczyć także inne instytucje, organizacje lub przedsiębiorstwa, które współpracują z  uczelniami.</w:t>
      </w:r>
    </w:p>
    <w:p w:rsidR="00000000" w:rsidDel="00000000" w:rsidP="00000000" w:rsidRDefault="00000000" w:rsidRPr="00000000" w14:paraId="0000000C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Wyjazdy na studia w ramach programu Erasmus+ realizowane są w oparciu     o umowy bilateralne zawarte pomiędzy Akademią Sztuk Pięknych w Gdańsku      a uczelniami partnerskimi. Lista tych uczelni jest dostępna na stronie internetowej ASP w Gdańsku pod adresem www: asp.gda.pl oraz w Biurze Współpracy ASP.</w:t>
      </w:r>
    </w:p>
    <w:p w:rsidR="00000000" w:rsidDel="00000000" w:rsidP="00000000" w:rsidRDefault="00000000" w:rsidRPr="00000000" w14:paraId="0000000D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W programie Erasmus+ Studia wziąć może udział student, który: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280" w:lineRule="auto"/>
        <w:ind w:left="72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w czasie całego pobytu w uczelni przyjmującej jest zarejestrowany jako student studiów pierwszego lub drugiego stopnia, lub jednolitych studiów magisterskich, lub jako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uczestnik Szkoły Doktorskiej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w uczelni macierzystej,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jest w momencie wyjazdu studentem co najmniej drugiego roku studiów  I-go stopnia,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jest w momencie wyjazdu studentem co najmniej drugiego roku studiów jednolitych,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jest w momencie wyjazdu studentem II lub III semestru studiów II stopnia (rekrutacja dla przyszłych studentów studiów II stopnia odbędzie się na początku października 202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),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nie przebywa w trakcie wyjazdu na urlopie dziekańskim,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zaliczył semestr studiów bezpośrednio poprzedzający moment wyjazdu   do uczelni zagranicznej,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UWAGA – jeżeli student w poprzednich latach korzystał z wyjazdów      w ramach Erasmus „Uczenie się przez całe życie”, Erasmus Mundus      lub Erasmus+, to suma miesięcy mobilności (miesięcy spędzonych w instytucjach zagranicznych – studia i praktyka) nie może przekroczyć w ramach jednego cyklu kształcenia 12 miesięcy, w przypadku jednolitych studiów magisterskich okres ten nie może przekroczyć 24 miesięcy,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okres studiów za granicą musi być częścią programu studiów studenta, którego celem jest uzyskanie dyplomu.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28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II Procedura naboru na wyjazdy na studia w ramach programu Erasmus+ w ASP w Gdańsku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28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1. Pobyt studenta na uczelni przyjmującej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nie powinien być dłuższy niż              1 semestr w ramach jednego roku akademickiego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(minimum 2 miesiące).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vertAlign w:val="superscript"/>
        </w:rPr>
        <w:footnoteReference w:customMarkFollows="0" w:id="0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28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Jeśli zaistnieje konieczność wyrównania różnic programowych, Dziekan/ Prodziekan Wydziału określa zakres oraz termin ich uzupełnienia przez studenta. 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28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2. Studenci, którzy chcą wziąć udział w programie, muszą wykazać się wysoką średnią ocen (minimalnie 4,0) z ostatniego semestru studiów oraz dobrą znajomością języka obcego. Wymagana jest dobra znajomość języka angielskiego, zaś znajomość języka kraju, w którym student zamierza studiować, jest cennym atutem – w przypadku niektórych uczelni partnerskich stanowi warunek wyjazdu.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28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3. Znajomość języka angielskiego zostanie sprawdzona w trakcie rozmowy kwalifikacyjnej. Jej wyniki stanowią jedno z kryteriów formalnej oceny wniosków, dlatego jest to obowiązkowy element procedury aplikacyjnej. O terminie rozmów studenci zostaną powiadomieni drogą elektroniczną. Komisji Rekrutacyjnej przysługuje prawo do zwolnienia studenta z obowiązku przystąpienia do testu i rozmowy z języka angielskiego, na podstawie przedstawionej przez studenta dokumentacji, zgodnie z 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4"/>
          <w:szCs w:val="24"/>
          <w:rtl w:val="0"/>
        </w:rPr>
        <w:t xml:space="preserve">Tabelą nr 1 – ocena kompetencji językowych,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stanowiącą załącznik do niniejszego dokumentu.  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28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4. Studenci, którzy chcą ubiegać się o stypendium programu Erasmus+ w ramach rekrutacji na rok akademicki 202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/202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, zobowiązani są do złożenia w terminie od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0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.02.202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do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.02.202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vertAlign w:val="superscript"/>
        </w:rPr>
        <w:footnoteReference w:customMarkFollows="0" w:id="1"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280" w:lineRule="auto"/>
        <w:jc w:val="both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a)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 wniosku online w systemie Akademus,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280" w:lineRule="auto"/>
        <w:jc w:val="both"/>
        <w:rPr>
          <w:rFonts w:ascii="Times New Roman" w:cs="Times New Roman" w:eastAsia="Times New Roman" w:hAnsi="Times New Roman"/>
          <w:i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b) dodatkowych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dokumentów poświadczających znajomość języka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kraju, do którego zamierza wyjechać student – punktacja zgodna z 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4"/>
          <w:szCs w:val="24"/>
          <w:rtl w:val="0"/>
        </w:rPr>
        <w:t xml:space="preserve">Tabelą nr 1 – ocena kompetencji językowych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c) dokumentów potwierdzających prawo do dodatkowego dofinansowania, zgodnie z pkt. III.3.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Szczegółowe informacje dotyczące sposobu składania wniosków dostępne są na stronie internetowej uczelni w zakładce Programu Erasmus+.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before="28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5. Wyboru kandydatów dokona Uczelniana Komisja Rekrutacyjna ds. Wyjazdów w ramach Programu Erasmus+, składająca się z przedstawicieli – pracowników dydaktycznych poszczególnych wydziałów oraz uczelnianego Koordynatora       ds. programu Erasmus+. </w:t>
      </w:r>
    </w:p>
    <w:p w:rsidR="00000000" w:rsidDel="00000000" w:rsidP="00000000" w:rsidRDefault="00000000" w:rsidRPr="00000000" w14:paraId="00000021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6. Procedura merytorycznej oceny wniosków o wyjazd w ramach programu Erasmus+ w roku akademickim 2025/2026 obejmuje następujące elementy: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spacing w:after="0" w:before="240" w:lineRule="auto"/>
        <w:ind w:left="567" w:hanging="42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Ocena kompetencji językowych: wynik rozmowy kwalifikacyjnej, z której można uzyskać maksymalnie 5 pkt. Możliwe jest przyznanie dodatkowych punktów (maksymalnie 3 pkt.) zgodnie z Tabelą nr 1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 – ocena kompetencji językowych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stanowiącą załącznik do niniejszego dokumentu - dotyczy języka kraju, do którego wyjazd planuje student (innego niż język angielski). </w:t>
      </w:r>
    </w:p>
    <w:p w:rsidR="00000000" w:rsidDel="00000000" w:rsidP="00000000" w:rsidRDefault="00000000" w:rsidRPr="00000000" w14:paraId="00000023">
      <w:pPr>
        <w:spacing w:after="0" w:before="240" w:lineRule="auto"/>
        <w:ind w:left="567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Minimalny wynik rozmowy, pozwalający na dalszą kwalifikację kandydata, to 3 pkt. na 5 możliwych do zdobycia.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spacing w:before="240" w:lineRule="auto"/>
        <w:ind w:left="567" w:hanging="42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Średnia ocen oznacza średnią arytmetyczną z ostatniego semestru studiów (semestr zimowy roku akademickiego 2024/2025). Średnia ocen jest tożsama z liczbą uzyskanych za nią punktów. </w:t>
      </w:r>
    </w:p>
    <w:p w:rsidR="00000000" w:rsidDel="00000000" w:rsidP="00000000" w:rsidRDefault="00000000" w:rsidRPr="00000000" w14:paraId="00000025">
      <w:pPr>
        <w:spacing w:before="240" w:lineRule="auto"/>
        <w:ind w:left="567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Minimalna średnia ocen, pozwalająca na kwalifikację do udziału                 w programie, to 4,0.</w:t>
      </w:r>
    </w:p>
    <w:p w:rsidR="00000000" w:rsidDel="00000000" w:rsidP="00000000" w:rsidRDefault="00000000" w:rsidRPr="00000000" w14:paraId="00000026">
      <w:pPr>
        <w:pStyle w:val="Heading1"/>
        <w:numPr>
          <w:ilvl w:val="0"/>
          <w:numId w:val="1"/>
        </w:numPr>
        <w:tabs>
          <w:tab w:val="center" w:leader="none" w:pos="4536"/>
          <w:tab w:val="right" w:leader="none" w:pos="9072"/>
        </w:tabs>
        <w:ind w:left="360" w:hanging="360"/>
        <w:rPr>
          <w:b w:val="0"/>
          <w:i w:val="1"/>
          <w:sz w:val="24"/>
          <w:szCs w:val="24"/>
        </w:rPr>
      </w:pPr>
      <w:r w:rsidDel="00000000" w:rsidR="00000000" w:rsidRPr="00000000">
        <w:rPr>
          <w:b w:val="0"/>
          <w:sz w:val="24"/>
          <w:szCs w:val="24"/>
          <w:rtl w:val="0"/>
        </w:rPr>
        <w:t xml:space="preserve">Udział w programie pomocy studentom zagranicznym, przyjeżdżającym na ASP w Gdańsku o nazwie </w:t>
      </w:r>
      <w:r w:rsidDel="00000000" w:rsidR="00000000" w:rsidRPr="00000000">
        <w:rPr>
          <w:b w:val="0"/>
          <w:i w:val="1"/>
          <w:sz w:val="24"/>
          <w:szCs w:val="24"/>
          <w:rtl w:val="0"/>
        </w:rPr>
        <w:t xml:space="preserve">Buddy – </w:t>
      </w:r>
      <w:r w:rsidDel="00000000" w:rsidR="00000000" w:rsidRPr="00000000">
        <w:rPr>
          <w:b w:val="0"/>
          <w:sz w:val="24"/>
          <w:szCs w:val="24"/>
          <w:rtl w:val="0"/>
        </w:rPr>
        <w:t xml:space="preserve">1 pkt. doliczony do punktacji ogólnej. Otrzymanie punktacji w tej kategorii nie zwalnia z obowiązków wskazanych w części. II ust. 6 lit. a i  b.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240" w:lineRule="auto"/>
        <w:ind w:left="36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Brak wcześniejszych wyjazdów na studia w ramach programu Erasmus+ (w trakcie wszystkich kierunków studiów realizowanych przez studenta) – 1 pkt. doliczony do punktacji ogólnej. Otrzymanie punktacji w tej kategorii nie wyklucza zobowiązań wskazanych w części II ust. 6 lit. a i b.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Style w:val="Heading1"/>
        <w:numPr>
          <w:ilvl w:val="0"/>
          <w:numId w:val="1"/>
        </w:numPr>
        <w:tabs>
          <w:tab w:val="center" w:leader="none" w:pos="4536"/>
          <w:tab w:val="right" w:leader="none" w:pos="9072"/>
        </w:tabs>
        <w:spacing w:line="276" w:lineRule="auto"/>
        <w:ind w:left="360" w:hanging="360"/>
        <w:jc w:val="both"/>
        <w:rPr>
          <w:b w:val="0"/>
          <w:sz w:val="24"/>
          <w:szCs w:val="24"/>
        </w:rPr>
      </w:pPr>
      <w:r w:rsidDel="00000000" w:rsidR="00000000" w:rsidRPr="00000000">
        <w:rPr>
          <w:b w:val="0"/>
          <w:sz w:val="24"/>
          <w:szCs w:val="24"/>
          <w:rtl w:val="0"/>
        </w:rPr>
        <w:t xml:space="preserve">Udział w spotkaniach promujących program Erasmus+ w roli prelegenta (dotyczy byłych uczestników ubiegających się o ponowny wyjazd w ramach programu) – 1 pkt. doliczony do punktacji ogólnej (niezależnie od liczby spotkań). Otrzymanie punktacji w tej kategorii nie wyklucza zobowiązań wskazanych w części II. ust. 6 lit. a i b. </w:t>
      </w:r>
    </w:p>
    <w:p w:rsidR="00000000" w:rsidDel="00000000" w:rsidP="00000000" w:rsidRDefault="00000000" w:rsidRPr="00000000" w14:paraId="00000029">
      <w:pPr>
        <w:spacing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7. Na wyjazd zakwalifikowani zostaną kandydaci spełniający kryteria formalne, którzy uzyskali najwyższy wynik łączny z wszystkich kryteriów podlegających ocenie.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8. Decyzja Komisji publikowana jest w systemie Akademus na indywidualnym koncie studenta nie później niż w ciągu dziesięciu dni od dnia posiedzenia Komisji.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Studentom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służy prawo odwołania się od decyzji Komisji do Prorektora ds. Współpracy i Promocji w terminie 14 dni od publikacji zgodnie ze zdaniem powyższym. Odwołanie należy złożyć u Koordynatora ds. Programu Erasmus+.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28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9. Po ogłoszeniu listy osób zaakceptowanych na wyjazd student w porozumieniu z pracownikami Biura Współpracy wysyła dokumenty aplikacyjne wymagane przez daną uczelnię partnerską. Jednocześnie pracownicy Biura Współpracy przesyłają do uczelni partnerskiej informację o studentach, którzy zostali wytypowani do wyjazdu oraz prośbę o przesłanie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potwierdzeń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o możliwości przyjęcia studentów na daną uczelnię.</w:t>
      </w:r>
    </w:p>
    <w:p w:rsidR="00000000" w:rsidDel="00000000" w:rsidP="00000000" w:rsidRDefault="00000000" w:rsidRPr="00000000" w14:paraId="0000002C">
      <w:pPr>
        <w:spacing w:befor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 Studenci zakwalifikowani na wyjazdy w ramach programu Erasmus+ w roku akademickim 2025/2026, dokonujący rezygnacji z uczestnictwa w programie, mają obowiązek niezwłocznego poinformowania o swojej decyzji pracowników Biura Współpracy.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III Finansowanie wyjazdów</w:t>
      </w:r>
    </w:p>
    <w:p w:rsidR="00000000" w:rsidDel="00000000" w:rsidP="00000000" w:rsidRDefault="00000000" w:rsidRPr="00000000" w14:paraId="0000002E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W okresie studiów za granicą uczestnicy programu uzyskują stypendium jako formę dofinansowania pobytu w uczelni zagranicznej. Stypendium nie zapewnia pokrycia pełnych kosztów związanych z pobytem za granicą (koszty wizy, ubezpieczenia, utrzymania za granicą student pokrywa z własnych środków finansowych).</w:t>
      </w:r>
    </w:p>
    <w:p w:rsidR="00000000" w:rsidDel="00000000" w:rsidP="00000000" w:rsidRDefault="00000000" w:rsidRPr="00000000" w14:paraId="0000002F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Stawki obowiązujące w roku akademickim 2024/2025 dla długoterminowych wyjazdów studentów na studia:</w:t>
      </w:r>
    </w:p>
    <w:tbl>
      <w:tblPr>
        <w:tblStyle w:val="Table1"/>
        <w:tblW w:w="8188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056"/>
        <w:gridCol w:w="1952"/>
        <w:gridCol w:w="1913"/>
        <w:gridCol w:w="2267"/>
        <w:tblGridChange w:id="0">
          <w:tblGrid>
            <w:gridCol w:w="2056"/>
            <w:gridCol w:w="1952"/>
            <w:gridCol w:w="1913"/>
            <w:gridCol w:w="226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0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Grupa</w:t>
            </w:r>
          </w:p>
        </w:tc>
        <w:tc>
          <w:tcPr/>
          <w:p w:rsidR="00000000" w:rsidDel="00000000" w:rsidP="00000000" w:rsidRDefault="00000000" w:rsidRPr="00000000" w14:paraId="00000031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Grupa 1</w:t>
            </w:r>
          </w:p>
        </w:tc>
        <w:tc>
          <w:tcPr/>
          <w:p w:rsidR="00000000" w:rsidDel="00000000" w:rsidP="00000000" w:rsidRDefault="00000000" w:rsidRPr="00000000" w14:paraId="00000032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Grupa 2</w:t>
            </w:r>
          </w:p>
        </w:tc>
        <w:tc>
          <w:tcPr/>
          <w:p w:rsidR="00000000" w:rsidDel="00000000" w:rsidP="00000000" w:rsidRDefault="00000000" w:rsidRPr="00000000" w14:paraId="00000033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Grupa 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4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Kraje wchodzące w skład grupy</w:t>
            </w:r>
          </w:p>
        </w:tc>
        <w:tc>
          <w:tcPr/>
          <w:p w:rsidR="00000000" w:rsidDel="00000000" w:rsidP="00000000" w:rsidRDefault="00000000" w:rsidRPr="00000000" w14:paraId="00000035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Austria, Belgia, Dania, Finlandia, Francja, Irlandia, Islandia, Lichtenstein, Luksemburg, Niderlandy, Niemcy, Norwegia, Szwecja, Włochy oraz kraje regionu 13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superscript"/>
              </w:rPr>
              <w:footnoteReference w:customMarkFollows="0" w:id="2"/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i 14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superscript"/>
              </w:rPr>
              <w:footnoteReference w:customMarkFollows="0" w:id="3"/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Cypr, Czechy, Estonia,</w:t>
            </w:r>
          </w:p>
          <w:p w:rsidR="00000000" w:rsidDel="00000000" w:rsidP="00000000" w:rsidRDefault="00000000" w:rsidRPr="00000000" w14:paraId="00000037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Grecja, Hiszpania, Łotwa,</w:t>
            </w:r>
          </w:p>
          <w:p w:rsidR="00000000" w:rsidDel="00000000" w:rsidP="00000000" w:rsidRDefault="00000000" w:rsidRPr="00000000" w14:paraId="00000038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Malta, </w:t>
            </w:r>
          </w:p>
          <w:p w:rsidR="00000000" w:rsidDel="00000000" w:rsidP="00000000" w:rsidRDefault="00000000" w:rsidRPr="00000000" w14:paraId="00000039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Portugalia, Słowacja, Słowenia</w:t>
            </w:r>
          </w:p>
          <w:p w:rsidR="00000000" w:rsidDel="00000000" w:rsidP="00000000" w:rsidRDefault="00000000" w:rsidRPr="00000000" w14:paraId="0000003A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Bułgaria, Chorwacja, Litwa, Macedonia Północna, </w:t>
            </w:r>
          </w:p>
          <w:p w:rsidR="00000000" w:rsidDel="00000000" w:rsidP="00000000" w:rsidRDefault="00000000" w:rsidRPr="00000000" w14:paraId="0000003C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Rumunia, Serbia, Turcja, Węgry</w:t>
            </w:r>
          </w:p>
          <w:p w:rsidR="00000000" w:rsidDel="00000000" w:rsidP="00000000" w:rsidRDefault="00000000" w:rsidRPr="00000000" w14:paraId="0000003D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E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Wysokość miesięcznego stypendium SMS</w:t>
            </w:r>
          </w:p>
        </w:tc>
        <w:tc>
          <w:tcPr/>
          <w:p w:rsidR="00000000" w:rsidDel="00000000" w:rsidP="00000000" w:rsidRDefault="00000000" w:rsidRPr="00000000" w14:paraId="0000003F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670,00 Euro</w:t>
            </w:r>
          </w:p>
        </w:tc>
        <w:tc>
          <w:tcPr/>
          <w:p w:rsidR="00000000" w:rsidDel="00000000" w:rsidP="00000000" w:rsidRDefault="00000000" w:rsidRPr="00000000" w14:paraId="00000041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670,00 Euro</w:t>
            </w:r>
          </w:p>
        </w:tc>
        <w:tc>
          <w:tcPr/>
          <w:p w:rsidR="00000000" w:rsidDel="00000000" w:rsidP="00000000" w:rsidRDefault="00000000" w:rsidRPr="00000000" w14:paraId="00000043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600,00 Euro</w:t>
            </w:r>
          </w:p>
        </w:tc>
      </w:tr>
    </w:tbl>
    <w:p w:rsidR="00000000" w:rsidDel="00000000" w:rsidP="00000000" w:rsidRDefault="00000000" w:rsidRPr="00000000" w14:paraId="00000045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Stawki obowiązujące w roku akademickim 2025/2026 dla długoterminowych wyjazdów na studia do krajów trzecich niestowarzyszonych z programem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</w:rPr>
        <w:footnoteReference w:customMarkFollows="0" w:id="4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za wyjątkiem krajów z regionów 13 i 14:</w:t>
      </w:r>
    </w:p>
    <w:tbl>
      <w:tblPr>
        <w:tblStyle w:val="Table2"/>
        <w:tblW w:w="8046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495"/>
        <w:gridCol w:w="2551"/>
        <w:tblGridChange w:id="0">
          <w:tblGrid>
            <w:gridCol w:w="5495"/>
            <w:gridCol w:w="255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6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Kwota miesięcznego stypendium </w:t>
            </w:r>
          </w:p>
        </w:tc>
        <w:tc>
          <w:tcPr/>
          <w:p w:rsidR="00000000" w:rsidDel="00000000" w:rsidP="00000000" w:rsidRDefault="00000000" w:rsidRPr="00000000" w14:paraId="00000047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700 Euro/ miesiąc</w:t>
            </w:r>
          </w:p>
        </w:tc>
      </w:tr>
    </w:tbl>
    <w:p w:rsidR="00000000" w:rsidDel="00000000" w:rsidP="00000000" w:rsidRDefault="00000000" w:rsidRPr="00000000" w14:paraId="00000048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Stawki obowiązujące w roku akademickim 2025/2026 dla krótkoterminowych wyjazdów studentów na studia do krajów UE i krajów trzecich stowarzyszonych z UE – dotyczy również mobilności mieszanych:</w:t>
      </w:r>
    </w:p>
    <w:tbl>
      <w:tblPr>
        <w:tblStyle w:val="Table3"/>
        <w:tblW w:w="8075.999999999999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692"/>
        <w:gridCol w:w="2692"/>
        <w:gridCol w:w="2692"/>
        <w:tblGridChange w:id="0">
          <w:tblGrid>
            <w:gridCol w:w="2692"/>
            <w:gridCol w:w="2692"/>
            <w:gridCol w:w="269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A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Kwota dziennego stypendium</w:t>
            </w:r>
          </w:p>
        </w:tc>
        <w:tc>
          <w:tcPr/>
          <w:p w:rsidR="00000000" w:rsidDel="00000000" w:rsidP="00000000" w:rsidRDefault="00000000" w:rsidRPr="00000000" w14:paraId="0000004C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Dodatkowa kwota dla uczestnika spełniającego definicję „osoby z mniejszymi szansami”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D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Pobyt od 5 do 14 dni</w:t>
            </w:r>
          </w:p>
        </w:tc>
        <w:tc>
          <w:tcPr/>
          <w:p w:rsidR="00000000" w:rsidDel="00000000" w:rsidP="00000000" w:rsidRDefault="00000000" w:rsidRPr="00000000" w14:paraId="0000004E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79 euro/ dzień</w:t>
            </w:r>
          </w:p>
        </w:tc>
        <w:tc>
          <w:tcPr/>
          <w:p w:rsidR="00000000" w:rsidDel="00000000" w:rsidP="00000000" w:rsidRDefault="00000000" w:rsidRPr="00000000" w14:paraId="0000004F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100 euro / wyjazd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0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Pobyt od 15 do 30 dni</w:t>
            </w:r>
          </w:p>
        </w:tc>
        <w:tc>
          <w:tcPr/>
          <w:p w:rsidR="00000000" w:rsidDel="00000000" w:rsidP="00000000" w:rsidRDefault="00000000" w:rsidRPr="00000000" w14:paraId="00000051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56 euro/ dzień</w:t>
            </w:r>
          </w:p>
        </w:tc>
        <w:tc>
          <w:tcPr/>
          <w:p w:rsidR="00000000" w:rsidDel="00000000" w:rsidP="00000000" w:rsidRDefault="00000000" w:rsidRPr="00000000" w14:paraId="00000052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150 euro / wyjazd</w:t>
            </w:r>
          </w:p>
        </w:tc>
      </w:tr>
    </w:tbl>
    <w:p w:rsidR="00000000" w:rsidDel="00000000" w:rsidP="00000000" w:rsidRDefault="00000000" w:rsidRPr="00000000" w14:paraId="00000053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Program Erasmus+ przewiduje możliwość przyznania dodatkowego dofinansowania dla  „osób z mniejszymi szansami”:</w:t>
      </w:r>
    </w:p>
    <w:tbl>
      <w:tblPr>
        <w:tblStyle w:val="Table4"/>
        <w:tblW w:w="8076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038"/>
        <w:gridCol w:w="4038"/>
        <w:tblGridChange w:id="0">
          <w:tblGrid>
            <w:gridCol w:w="4038"/>
            <w:gridCol w:w="403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5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Grupa osób</w:t>
            </w:r>
          </w:p>
        </w:tc>
        <w:tc>
          <w:tcPr/>
          <w:p w:rsidR="00000000" w:rsidDel="00000000" w:rsidP="00000000" w:rsidRDefault="00000000" w:rsidRPr="00000000" w14:paraId="00000056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Kryterium, na podstawie którego uczelnia dokona kwalifikacji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7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Osoby z niepełnosprawnościami</w:t>
            </w:r>
          </w:p>
        </w:tc>
        <w:tc>
          <w:tcPr/>
          <w:p w:rsidR="00000000" w:rsidDel="00000000" w:rsidP="00000000" w:rsidRDefault="00000000" w:rsidRPr="00000000" w14:paraId="00000058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Przedstawienie orzeczenia o stopniu niepełnosprawności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9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Osoby ze środowisk uboższych</w:t>
            </w:r>
          </w:p>
        </w:tc>
        <w:tc>
          <w:tcPr/>
          <w:p w:rsidR="00000000" w:rsidDel="00000000" w:rsidP="00000000" w:rsidRDefault="00000000" w:rsidRPr="00000000" w14:paraId="0000005A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Przedstawienie decyzji uczelni o przyznaniu stypendium socjalnego </w:t>
            </w:r>
          </w:p>
        </w:tc>
      </w:tr>
    </w:tbl>
    <w:p w:rsidR="00000000" w:rsidDel="00000000" w:rsidP="00000000" w:rsidRDefault="00000000" w:rsidRPr="00000000" w14:paraId="0000005B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Stawka dodatkowa dla studenta z „mniejszymi szansami” wynosi 250,00 Euro na miesiąc pobytu. </w:t>
      </w:r>
    </w:p>
    <w:p w:rsidR="00000000" w:rsidDel="00000000" w:rsidP="00000000" w:rsidRDefault="00000000" w:rsidRPr="00000000" w14:paraId="0000005D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Osoby z niepełnosprawnościami mogą ubiegać się o osobne dofinansowanie na pokrycie specjalistycznych kosztów związanych ze swoją niepełnosprawnością (pomoc opiekuna, rehabilitacje itp.). Wymagany jest dodatkowy wniosek, a rozliczenie odbywa się na podstawie poniesionych przez studenta kosztów rzeczywistych.</w:t>
      </w:r>
    </w:p>
    <w:p w:rsidR="00000000" w:rsidDel="00000000" w:rsidP="00000000" w:rsidRDefault="00000000" w:rsidRPr="00000000" w14:paraId="0000005E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Przynależność studentów do grupy „osób z mniejszymi szansami” będzie weryfikowana na etapie rekrutacji. Wymagane jest zaznaczenie przez studentów w aplikacji faktu przynależności do w/w grupy, i przedstawienia dokumentu potwierdzającego (skan orzeczenia o stopniu niepełnosprawności lub decyzji o przyznaniu stypendium socjalnego).</w:t>
      </w:r>
    </w:p>
    <w:p w:rsidR="00000000" w:rsidDel="00000000" w:rsidP="00000000" w:rsidRDefault="00000000" w:rsidRPr="00000000" w14:paraId="0000005F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Uczestnicy wyjeżdżający w ramach umowy nr 2024-1-PL01-KA131-HED-000197242 (wszystkie rodzaje mobilności) otrzymają także dofinansowanie kosztów podróży, zgodnie z poniższymi stawkami:</w:t>
      </w:r>
    </w:p>
    <w:tbl>
      <w:tblPr>
        <w:tblStyle w:val="Table5"/>
        <w:tblW w:w="7893.28346456693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785.0000000000005"/>
        <w:gridCol w:w="2479.9999999999995"/>
        <w:gridCol w:w="2628.2834645669295"/>
        <w:tblGridChange w:id="0">
          <w:tblGrid>
            <w:gridCol w:w="2785.0000000000005"/>
            <w:gridCol w:w="2479.9999999999995"/>
            <w:gridCol w:w="2628.2834645669295"/>
          </w:tblGrid>
        </w:tblGridChange>
      </w:tblGrid>
      <w:tr>
        <w:trPr>
          <w:cantSplit w:val="0"/>
          <w:trHeight w:val="148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spacing w:after="0" w:line="360" w:lineRule="auto"/>
              <w:ind w:left="-4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spacing w:after="0" w:line="360" w:lineRule="auto"/>
              <w:ind w:left="-4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Odległość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spacing w:after="0" w:line="360" w:lineRule="auto"/>
              <w:ind w:left="-4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63">
            <w:pPr>
              <w:spacing w:after="0" w:line="360" w:lineRule="auto"/>
              <w:ind w:left="-4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Podróż ekologicznymi środkami transportu (“green travel”) - ryczałt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spacing w:after="0" w:line="360" w:lineRule="auto"/>
              <w:ind w:left="-4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65">
            <w:pPr>
              <w:spacing w:after="0" w:line="360" w:lineRule="auto"/>
              <w:ind w:left="-4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Podróż standardowa - ryczałt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spacing w:after="0" w:line="360" w:lineRule="auto"/>
              <w:ind w:left="-4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od 10 do 99 km: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spacing w:after="0" w:line="360" w:lineRule="auto"/>
              <w:ind w:left="-4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56 € na uczestnika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spacing w:after="0" w:line="360" w:lineRule="auto"/>
              <w:ind w:left="-4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28,00 € na uczestnika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spacing w:after="0" w:line="360" w:lineRule="auto"/>
              <w:ind w:left="-4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od 100 do 499 km: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spacing w:after="0" w:line="360" w:lineRule="auto"/>
              <w:ind w:left="-4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285,00 € na uczestnika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spacing w:after="0" w:line="360" w:lineRule="auto"/>
              <w:ind w:left="-4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211,00 € na uczestnika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spacing w:after="0" w:line="360" w:lineRule="auto"/>
              <w:ind w:left="-4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od 500 do 1999 km: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spacing w:after="0" w:line="360" w:lineRule="auto"/>
              <w:ind w:left="-4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417,00 € na uczestnika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spacing w:after="0" w:line="360" w:lineRule="auto"/>
              <w:ind w:left="-4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309,00 € na uczestnika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spacing w:after="0" w:line="360" w:lineRule="auto"/>
              <w:ind w:left="-4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od 2000 do 2999 km: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spacing w:after="0" w:line="360" w:lineRule="auto"/>
              <w:ind w:left="-4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535,00 € na uczestnika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spacing w:after="0" w:line="360" w:lineRule="auto"/>
              <w:ind w:left="-4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395,00 € na uczestnika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spacing w:after="0" w:line="360" w:lineRule="auto"/>
              <w:ind w:left="-4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od 3000 do 3999 km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spacing w:after="0" w:line="360" w:lineRule="auto"/>
              <w:ind w:left="-4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785,00 € na uczestnika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spacing w:after="0" w:line="360" w:lineRule="auto"/>
              <w:ind w:left="-4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580,00 € na uczestnika</w:t>
            </w:r>
          </w:p>
        </w:tc>
      </w:tr>
      <w:tr>
        <w:trPr>
          <w:cantSplit w:val="0"/>
          <w:trHeight w:val="404.7874015748032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spacing w:after="0" w:line="360" w:lineRule="auto"/>
              <w:ind w:left="-4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od 4000 do 7999 km: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spacing w:after="0" w:line="360" w:lineRule="auto"/>
              <w:ind w:left="-4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1188,00 € na uczestnika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spacing w:after="240" w:before="240" w:lineRule="auto"/>
              <w:ind w:left="-4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1188,00 € na uczestnika</w:t>
            </w:r>
          </w:p>
        </w:tc>
      </w:tr>
      <w:tr>
        <w:trPr>
          <w:cantSplit w:val="0"/>
          <w:trHeight w:val="404.7874015748032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spacing w:after="0" w:line="360" w:lineRule="auto"/>
              <w:ind w:left="-4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8000 km lub więcej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spacing w:after="0" w:line="360" w:lineRule="auto"/>
              <w:ind w:left="-4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1735,00 € na uczestnika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spacing w:after="240" w:before="240" w:lineRule="auto"/>
              <w:ind w:left="-4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1735,00 € na uczestnika</w:t>
            </w:r>
          </w:p>
        </w:tc>
      </w:tr>
    </w:tbl>
    <w:p w:rsidR="00000000" w:rsidDel="00000000" w:rsidP="00000000" w:rsidRDefault="00000000" w:rsidRPr="00000000" w14:paraId="0000007B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before="240" w:line="360" w:lineRule="auto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 wyliczenia odległości stosowany będzie kalkulator Komisji Europejskiej dostępny na stronie: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24"/>
            <w:szCs w:val="24"/>
            <w:u w:val="single"/>
            <w:rtl w:val="0"/>
          </w:rPr>
          <w:t xml:space="preserve">https://erasmus-plus.ec.europa.eu/resources-and-tools/distance-calculator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</w:t>
      </w:r>
    </w:p>
    <w:p w:rsidR="00000000" w:rsidDel="00000000" w:rsidP="00000000" w:rsidRDefault="00000000" w:rsidRPr="00000000" w14:paraId="0000007D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 przypadku podróży na dystansie do 499 km uczestnicy powinni korzystać z niskoemisyjnych środków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transportu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7E">
      <w:pPr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 uzasadnionych przypadkach uczestnicy są uprawnieni do otrzymania wsparcia indywidualnego na pokrycie kosztów podróży przed rozpoczęciem działania i po jego zakończeniu (według stawek ryczałtowych wymienionych w części dot. wsparcia indywidualnego):</w:t>
      </w:r>
    </w:p>
    <w:p w:rsidR="00000000" w:rsidDel="00000000" w:rsidP="00000000" w:rsidRDefault="00000000" w:rsidRPr="00000000" w14:paraId="0000007F">
      <w:pPr>
        <w:numPr>
          <w:ilvl w:val="0"/>
          <w:numId w:val="3"/>
        </w:numPr>
        <w:spacing w:after="0" w:afterAutospacing="0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dla uczestników otrzymujących ryczałt na podróż standardową to maksymalnie wsparcie indywidualne na 2 dni podróży,</w:t>
      </w:r>
    </w:p>
    <w:p w:rsidR="00000000" w:rsidDel="00000000" w:rsidP="00000000" w:rsidRDefault="00000000" w:rsidRPr="00000000" w14:paraId="00000080">
      <w:pPr>
        <w:numPr>
          <w:ilvl w:val="0"/>
          <w:numId w:val="3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dla uczestników otrzymujących ryczałt “green travel” to maksymalnie wsparcie indywidualne na 6 dni podróży.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rzyznanie dodatkowego dofinansowania tzw. “green travel” będzie realizowane na podstawie oświadczenia studenta, składanego przed wyjazdem na studia.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Uczelnia gwarantuje studentowi wypłatę stypendium na okres przewidziany w umowie finansowej podpisanej przed wyjazdem studenta. Jeżeli student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przedłuży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swój pobyt w instytucji partnerskiej, uczelnia zastrzega sobie prawo do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niewypłacenia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stypendium za ten okres.</w:t>
      </w:r>
    </w:p>
    <w:p w:rsidR="00000000" w:rsidDel="00000000" w:rsidP="00000000" w:rsidRDefault="00000000" w:rsidRPr="00000000" w14:paraId="00000083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Ostateczna kwota stypendium wypłacanego studentowi zostanie określona na podstawie dokumentu potwierdzającego pobyt studenta w instytucji przyjmującej, nie przekroczy ona jednak kwoty przewidzianej w umowie finansowej zawartej ze studentem. Długość pobytu studenta w instytucji przyjmującej zostanie rozliczona co do dnia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</w:rPr>
        <w:footnoteReference w:customMarkFollows="0" w:id="5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84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 Szczegółowe zasady finansowania wyjazdów zostały określone w Zarządzeniu nr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3/2024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Rektora Akademii Sztuk Pięknych w Gdańsku w sprawie wprowadzenia Uczelnianych zasad finansowania wyjazdów stypendialnych realizowanych ramach programu Erasmus+ dla umowy nr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2024-1-PL01-KA131-HED-000197242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85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IV Rekomendowane zasady realizacji okresu studiów </w:t>
      </w:r>
    </w:p>
    <w:p w:rsidR="00000000" w:rsidDel="00000000" w:rsidP="00000000" w:rsidRDefault="00000000" w:rsidRPr="00000000" w14:paraId="00000086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Przed wyjazdem studenta do uczelni partnerskiej, trzy zainteresowane strony   tj. uczelnia macierzysta (wysyłająca), uczelnia partnerska (przyjmująca) oraz student podpisują Online Learning Agreement, dalej nazywany „Porozumieniem          o programie zajęć”. „Porozumienie o programie zajęć” powinno być przygotowane w taki sposób, aby zminimalizować różnice pomiędzy efektami kształcenia możliwymi do uzyskania podczas studiów w uczelni partnerskiej,        a efektami kształcenia, które powinny być uzyskane w tym samym czasie w uczelni macierzystej. </w:t>
      </w:r>
    </w:p>
    <w:p w:rsidR="00000000" w:rsidDel="00000000" w:rsidP="00000000" w:rsidRDefault="00000000" w:rsidRPr="00000000" w14:paraId="00000087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Jeśli po przybyciu do uczelni partnerskiej student nie może, z przyczyn obiektywnych, zrealizować przedmiotów/zajęć zapisanych w „Porozumieniu        o programie zajęć” i/lub chciałby zrealizować dodatkowe przedmioty/zajęcia, zobowiązany jest powiadomić o tym uczelnię macierzystą i w porozumieniu z nią wprowadzić zmiany do „Porozumienia o programie zajęć”. Termin, w którym student może dokonać zmian w „Porozumieniu o programie zajęć”, to okres          1 miesiąca od daty przyjazdu do uczelni partnerskiej.</w:t>
      </w:r>
    </w:p>
    <w:p w:rsidR="00000000" w:rsidDel="00000000" w:rsidP="00000000" w:rsidRDefault="00000000" w:rsidRPr="00000000" w14:paraId="00000088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„Porozumienie o programie zajęć” oraz zmiany dokonane w tym dokumencie powinny być zatwierdzone pisemnie przez dziekana wydziału lub upoważnioną przez niego osobę.</w:t>
      </w:r>
    </w:p>
    <w:p w:rsidR="00000000" w:rsidDel="00000000" w:rsidP="00000000" w:rsidRDefault="00000000" w:rsidRPr="00000000" w14:paraId="0000008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Studenci wyjeżdżający za granicę otrzymują zaświadczenie o wyjeździe w celu przedłożenia w Narodowym Funduszu Zdrowia. Na tej podstawie studentowi wydawana jest tzw.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Europejska Karta Ubezpieczenia Zdrowotnego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która jest dokumentem uprawniającym do korzystania ze świadczeń zdrowotnych podczas pobytu w innych państwach członkowskich Europejskiego Obszaru Gospodarczego (dokładne informacje na temat Europejskiej Karty Ubezpieczenia Zdrowotnego znaleźć można na stronie internetowej Narodowego Funduszu Zdrowia 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000080"/>
            <w:sz w:val="24"/>
            <w:szCs w:val="24"/>
            <w:u w:val="single"/>
            <w:rtl w:val="0"/>
          </w:rPr>
          <w:t xml:space="preserve">http://www.nfz.gov.pl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).</w:t>
      </w:r>
    </w:p>
    <w:p w:rsidR="00000000" w:rsidDel="00000000" w:rsidP="00000000" w:rsidRDefault="00000000" w:rsidRPr="00000000" w14:paraId="0000008A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 Studenci wyjeżdżający na studia w ramach programu Erasmus+ zobowiązani są, oprócz uzyskania Karty EKUZ, do wykupienia polisy ubezpieczeniowej obejmującej NNW (zalecane jest także ubezpieczenie obejmujące koszty leczenia,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konieczność powrotu do kraju lub specjalnej interwencji medycznej, a także ubezpieczenie od utraty lub kradzieży dokumentów, biletów podróżnych i bagażu).</w:t>
      </w:r>
    </w:p>
    <w:p w:rsidR="00000000" w:rsidDel="00000000" w:rsidP="00000000" w:rsidRDefault="00000000" w:rsidRPr="00000000" w14:paraId="0000008B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6. Studenci są również zobowiązani do wypełnienia przed wyjazdem testu językowego oraz zachęcani do uczestnictwa w kursie językowym na platformie Online Language Support, dedykowanej uczestnikom programu Erasmus+. Szczegółowe zasady korzystania z narzędzi wspierających realizację wyjazdów w ramach programu Erasmus+ zostaną przekazane zakwalifikowanym uczestnikom wyjazdów. </w:t>
      </w:r>
    </w:p>
    <w:p w:rsidR="00000000" w:rsidDel="00000000" w:rsidP="00000000" w:rsidRDefault="00000000" w:rsidRPr="00000000" w14:paraId="0000008C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7. Po uregulowaniu wszelkich formalności związanych z organizacją wyjazdu       i zaakceptowaniem przez dziekana „Porozumienia o programie zajęć” (Online Learning Agreement), studenci zgłaszają się do Biura Współpracy w celu podpisania umowy. W systemie Akademus należy podać numer osobistego konta walutowego, na które zostanie wypłacone stypendium. </w:t>
      </w:r>
    </w:p>
    <w:p w:rsidR="00000000" w:rsidDel="00000000" w:rsidP="00000000" w:rsidRDefault="00000000" w:rsidRPr="00000000" w14:paraId="0000008D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8. Po zakończeniu wyjazdu student jest zobowiązany do zwrócenia się z prośbą do uczelni partnerskiej o wysłanie drogą mailową na adres </w:t>
      </w:r>
      <w:hyperlink r:id="rId10">
        <w:r w:rsidDel="00000000" w:rsidR="00000000" w:rsidRPr="00000000">
          <w:rPr>
            <w:rFonts w:ascii="Times New Roman" w:cs="Times New Roman" w:eastAsia="Times New Roman" w:hAnsi="Times New Roman"/>
            <w:color w:val="000080"/>
            <w:sz w:val="24"/>
            <w:szCs w:val="24"/>
            <w:u w:val="single"/>
            <w:rtl w:val="0"/>
          </w:rPr>
          <w:t xml:space="preserve">erasmus@asp.gda.pl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w terminie do 4 tygodni od zakończenia mobilności następujących dokumentów: „Wykazu zaliczeń” (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Transcript of the records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 oraz „Potwierdzenia długości pobytu” (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Confirmation of study period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- dokument ten potwierdza rzeczywistą długość pobytu studenta w uczelni partnerskiej).</w:t>
      </w:r>
    </w:p>
    <w:p w:rsidR="00000000" w:rsidDel="00000000" w:rsidP="00000000" w:rsidRDefault="00000000" w:rsidRPr="00000000" w14:paraId="0000008E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9. Po zakończeniu mobilności student otrzyma także zaproszenie do wypełnienia on-line indywidualnego raportu uczestnika, którego uzupełnienie stanowi element niezbędny do rozliczenia udziału w programie. Dodatkowo, studenci są zobowiązani do wypełnienia ankiety opisowej dotyczącej uczelni i miasta.</w:t>
      </w:r>
    </w:p>
    <w:p w:rsidR="00000000" w:rsidDel="00000000" w:rsidP="00000000" w:rsidRDefault="00000000" w:rsidRPr="00000000" w14:paraId="0000008F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 Dziekan uczelni macierzystej podejmuje decyzję o zaliczeniu studentowi okresu studiów, przedmiotów i punktów zaliczeniowych zrealizowanych             w uczelni partnerskiej w terminie 4 tygodni od daty dostarczenia przez studenta „Wykazu zaliczeń” z uczelni partnerskiej. Przeliczenie ocen uzyskanych              w uczelni partnerskiej na skalę ocen stosowaną w uczelni macierzystej dokonywane jest w oparciu o Regulamin Studiów Akademii Sztuk Pięknych w Gdańsku uchwalony Uchwałą nr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21/2022 Senatu Akademii Sztuk Pięknych w Gdańsku z dnia 25 maja 2022 r. z póz. zm., stanowiący zał. nr 1 do Uchwały Senatu nr 21/2022 z dnia 25 maja 2022 r.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90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 przypadku konieczności uzupełnienia niektórych zaliczeń wskazanych przed wyjazdem, student uzupełnia je w terminie określonym przez Dziekana Wydziału. </w:t>
      </w:r>
    </w:p>
    <w:p w:rsidR="00000000" w:rsidDel="00000000" w:rsidP="00000000" w:rsidRDefault="00000000" w:rsidRPr="00000000" w14:paraId="00000091">
      <w:pPr>
        <w:spacing w:after="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V  Informacje dodatkowe</w:t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284" w:right="0" w:hanging="21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Student/-ka studiów niestacjonarnych, biorący udział w programie Erasmus+, nie jest zwolniony/-a w trakcie wyjazdu na wymianę z obowiązku poniesienia opłaty (czesnego) za odbywanie studiów. </w:t>
      </w:r>
    </w:p>
    <w:p w:rsidR="00000000" w:rsidDel="00000000" w:rsidP="00000000" w:rsidRDefault="00000000" w:rsidRPr="00000000" w14:paraId="0000009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Szczegółowych informacji na temat programu udziela Biuro Współpracy, tel. 58 301 21 40, e-mail: </w:t>
      </w:r>
      <w:hyperlink r:id="rId11">
        <w:r w:rsidDel="00000000" w:rsidR="00000000" w:rsidRPr="00000000">
          <w:rPr>
            <w:rFonts w:ascii="Times New Roman" w:cs="Times New Roman" w:eastAsia="Times New Roman" w:hAnsi="Times New Roman"/>
            <w:color w:val="000080"/>
            <w:sz w:val="24"/>
            <w:szCs w:val="24"/>
            <w:u w:val="single"/>
            <w:rtl w:val="0"/>
          </w:rPr>
          <w:t xml:space="preserve">erasmus@asp.gda.pl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spacing w:after="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bookmarkStart w:colFirst="0" w:colLast="0" w:name="_heading=h.gjdgxs" w:id="1"/>
      <w:bookmarkEnd w:id="1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ab/>
        <w:t xml:space="preserve">      </w:t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Załączniki:</w:t>
      </w:r>
    </w:p>
    <w:p w:rsidR="00000000" w:rsidDel="00000000" w:rsidP="00000000" w:rsidRDefault="00000000" w:rsidRPr="00000000" w14:paraId="00000098">
      <w:pPr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Załącznik nr 1 - Tabela nr 1 – ocena kompetencji językowych kandydatów ubiegających się o wyjazd w ramach programu Erasmus+.</w:t>
      </w:r>
    </w:p>
    <w:sectPr>
      <w:headerReference r:id="rId12" w:type="default"/>
      <w:footerReference r:id="rId13" w:type="default"/>
      <w:pgSz w:h="16838" w:w="11906" w:orient="portrait"/>
      <w:pgMar w:bottom="2410" w:top="851" w:left="1985" w:right="1985" w:header="709" w:footer="155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Cambria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200" w:before="0" w:line="276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3209925</wp:posOffset>
          </wp:positionH>
          <wp:positionV relativeFrom="paragraph">
            <wp:posOffset>-219074</wp:posOffset>
          </wp:positionV>
          <wp:extent cx="2278063" cy="477796"/>
          <wp:effectExtent b="0" l="0" r="0" t="0"/>
          <wp:wrapNone/>
          <wp:docPr id="10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278063" cy="477796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A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line="36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Studenci mają także możliwość udziału w krótkoterminowych wyjazdach na studia (pobyty od 5 do 30 dni), np. w formie udziału w Mieszanych Kursach Intensywnych (Blended Intensive Programmes/BIP), obejmujących mobilność fizyczną (5-30 dni) połączoną z obowiązkową mobilnością wirtualną (zdalną). Ewentualne nabory na takie wyjazdy będą ogłaszane w odrębnych terminach. </w:t>
      </w:r>
    </w:p>
  </w:footnote>
  <w:footnote w:id="1"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Termin nie dotyczy studentów III roku studiów I stopnia.</w:t>
      </w:r>
    </w:p>
  </w:footnote>
  <w:footnote w:id="4"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bookmarkStart w:colFirst="0" w:colLast="0" w:name="_heading=h.30j0zll" w:id="0"/>
      <w:bookmarkEnd w:id="0"/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Wyjazdy tylko do uczelni partnerskich zlokalizowanych w tzw. krajach trzecich niestowarzyszonych z programem, z którymi Akademia Sztuk Pięknych w Gdańsku zawarła umowy o współpracy w ramach programu Erasmus+.</w:t>
      </w:r>
    </w:p>
  </w:footnote>
  <w:footnote w:id="5"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Z zachowaniem zasady tzw. „5-dniowej elastyczności” – w przypadku pobytów krótszych niż okres wskazany w umowie: a) Jeśli różnica między potwierdzonym okresem pobytu a okresem wskazanym w umowie o udzielenie dotacji wynosi ponad 5 dni, kwota dotacji zostanie obliczona ponownie. b) Jeśli różnica ta wynosi maksymalnie 5 dni, kwota dotacji nie zostaje obliczona ponownie.</w:t>
      </w:r>
      <w:r w:rsidDel="00000000" w:rsidR="00000000" w:rsidRPr="00000000">
        <w:rPr>
          <w:rtl w:val="0"/>
        </w:rPr>
      </w:r>
    </w:p>
  </w:footnote>
  <w:footnote w:id="3">
    <w:p w:rsidR="00000000" w:rsidDel="00000000" w:rsidP="00000000" w:rsidRDefault="00000000" w:rsidRPr="00000000" w14:paraId="000000A3">
      <w:pPr>
        <w:spacing w:after="0" w:line="240" w:lineRule="auto"/>
        <w:rPr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Andora, Monako, Watykan, San Marino.</w:t>
      </w:r>
      <w:r w:rsidDel="00000000" w:rsidR="00000000" w:rsidRPr="00000000">
        <w:rPr>
          <w:rtl w:val="0"/>
        </w:rPr>
      </w:r>
    </w:p>
  </w:footnote>
  <w:footnote w:id="2">
    <w:p w:rsidR="00000000" w:rsidDel="00000000" w:rsidP="00000000" w:rsidRDefault="00000000" w:rsidRPr="00000000" w14:paraId="000000A4">
      <w:pPr>
        <w:spacing w:after="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Wyspy Owcze, Szwajcaria, Zjednoczone Królestwo.</w:t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  <w:tab w:val="left" w:leader="none" w:pos="4500"/>
      </w:tabs>
      <w:rPr>
        <w:color w:val="000000"/>
      </w:rPr>
    </w:pPr>
    <w:r w:rsidDel="00000000" w:rsidR="00000000" w:rsidRPr="00000000">
      <w:rPr>
        <w:color w:val="000000"/>
        <w:rtl w:val="0"/>
      </w:rPr>
      <w:tab/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-1282699</wp:posOffset>
          </wp:positionH>
          <wp:positionV relativeFrom="paragraph">
            <wp:posOffset>-409574</wp:posOffset>
          </wp:positionV>
          <wp:extent cx="7560310" cy="1800225"/>
          <wp:effectExtent b="0" l="0" r="0" t="0"/>
          <wp:wrapNone/>
          <wp:docPr id="1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60310" cy="180022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9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  <w:tab w:val="left" w:leader="none" w:pos="4500"/>
      </w:tabs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  <w:tab w:val="left" w:leader="none" w:pos="4500"/>
      </w:tabs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)"/>
      <w:lvlJc w:val="left"/>
      <w:pPr>
        <w:ind w:left="360" w:hanging="360"/>
      </w:pPr>
      <w:rPr>
        <w:rFonts w:ascii="Times New Roman" w:cs="Times New Roman" w:eastAsia="Times New Roman" w:hAnsi="Times New Roman"/>
        <w:i w:val="0"/>
      </w:rPr>
    </w:lvl>
    <w:lvl w:ilvl="1">
      <w:start w:val="1"/>
      <w:numFmt w:val="lowerLetter"/>
      <w:lvlText w:val="%2."/>
      <w:lvlJc w:val="left"/>
      <w:pPr>
        <w:ind w:left="1724" w:hanging="360"/>
      </w:pPr>
      <w:rPr/>
    </w:lvl>
    <w:lvl w:ilvl="2">
      <w:start w:val="1"/>
      <w:numFmt w:val="lowerRoman"/>
      <w:lvlText w:val="%3."/>
      <w:lvlJc w:val="right"/>
      <w:pPr>
        <w:ind w:left="2444" w:hanging="180"/>
      </w:pPr>
      <w:rPr/>
    </w:lvl>
    <w:lvl w:ilvl="3">
      <w:start w:val="1"/>
      <w:numFmt w:val="decimal"/>
      <w:lvlText w:val="%4."/>
      <w:lvlJc w:val="left"/>
      <w:pPr>
        <w:ind w:left="3164" w:hanging="360"/>
      </w:pPr>
      <w:rPr/>
    </w:lvl>
    <w:lvl w:ilvl="4">
      <w:start w:val="1"/>
      <w:numFmt w:val="lowerLetter"/>
      <w:lvlText w:val="%5."/>
      <w:lvlJc w:val="left"/>
      <w:pPr>
        <w:ind w:left="3884" w:hanging="360"/>
      </w:pPr>
      <w:rPr/>
    </w:lvl>
    <w:lvl w:ilvl="5">
      <w:start w:val="1"/>
      <w:numFmt w:val="lowerRoman"/>
      <w:lvlText w:val="%6."/>
      <w:lvlJc w:val="right"/>
      <w:pPr>
        <w:ind w:left="4604" w:hanging="180"/>
      </w:pPr>
      <w:rPr/>
    </w:lvl>
    <w:lvl w:ilvl="6">
      <w:start w:val="1"/>
      <w:numFmt w:val="decimal"/>
      <w:lvlText w:val="%7."/>
      <w:lvlJc w:val="left"/>
      <w:pPr>
        <w:ind w:left="5324" w:hanging="360"/>
      </w:pPr>
      <w:rPr/>
    </w:lvl>
    <w:lvl w:ilvl="7">
      <w:start w:val="1"/>
      <w:numFmt w:val="lowerLetter"/>
      <w:lvlText w:val="%8."/>
      <w:lvlJc w:val="left"/>
      <w:pPr>
        <w:ind w:left="6044" w:hanging="360"/>
      </w:pPr>
      <w:rPr/>
    </w:lvl>
    <w:lvl w:ilvl="8">
      <w:start w:val="1"/>
      <w:numFmt w:val="lowerRoman"/>
      <w:lvlText w:val="%9."/>
      <w:lvlJc w:val="right"/>
      <w:pPr>
        <w:ind w:left="6764" w:hanging="18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l-PL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widowControl w:val="0"/>
      <w:tabs>
        <w:tab w:val="center" w:leader="none" w:pos="4536"/>
        <w:tab w:val="right" w:leader="none" w:pos="9072"/>
      </w:tabs>
      <w:spacing w:after="283" w:before="240" w:line="240" w:lineRule="auto"/>
      <w:ind w:left="360" w:hanging="360"/>
    </w:pPr>
    <w:rPr>
      <w:rFonts w:ascii="Times New Roman" w:cs="Times New Roman" w:eastAsia="Times New Roman" w:hAnsi="Times New Roman"/>
      <w:b w:val="1"/>
      <w:color w:val="000000"/>
      <w:sz w:val="48"/>
      <w:szCs w:val="48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spacing w:after="60" w:before="240" w:lineRule="auto"/>
    </w:pPr>
    <w:rPr>
      <w:b w:val="1"/>
      <w:i w:val="1"/>
      <w:sz w:val="26"/>
      <w:szCs w:val="26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ny" w:default="1">
    <w:name w:val="Normal"/>
    <w:qFormat w:val="1"/>
    <w:rsid w:val="009D1E22"/>
    <w:rPr>
      <w:lang w:eastAsia="en-US"/>
    </w:rPr>
  </w:style>
  <w:style w:type="paragraph" w:styleId="Nagwek1">
    <w:name w:val="heading 1"/>
    <w:basedOn w:val="Nagwek"/>
    <w:next w:val="Tekstpodstawowy"/>
    <w:link w:val="Nagwek1Znak"/>
    <w:qFormat w:val="1"/>
    <w:rsid w:val="00F85391"/>
    <w:pPr>
      <w:keepNext w:val="1"/>
      <w:widowControl w:val="0"/>
      <w:numPr>
        <w:numId w:val="1"/>
      </w:numPr>
      <w:tabs>
        <w:tab w:val="clear" w:pos="4536"/>
        <w:tab w:val="clear" w:pos="9072"/>
      </w:tabs>
      <w:suppressAutoHyphens w:val="1"/>
      <w:spacing w:after="283" w:before="240" w:line="240" w:lineRule="auto"/>
      <w:outlineLvl w:val="0"/>
    </w:pPr>
    <w:rPr>
      <w:rFonts w:ascii="Times New Roman" w:cs="Tahoma" w:eastAsia="Lucida Sans Unicode" w:hAnsi="Times New Roman"/>
      <w:b w:val="1"/>
      <w:bCs w:val="1"/>
      <w:color w:val="000000"/>
      <w:sz w:val="48"/>
      <w:szCs w:val="48"/>
      <w:lang w:bidi="en-US" w:val="en-US"/>
    </w:rPr>
  </w:style>
  <w:style w:type="paragraph" w:styleId="Nagwek2">
    <w:name w:val="heading 2"/>
    <w:basedOn w:val="Normalny"/>
    <w:next w:val="Normalny"/>
    <w:link w:val="Nagwek2Znak"/>
    <w:uiPriority w:val="9"/>
    <w:semiHidden w:val="1"/>
    <w:unhideWhenUsed w:val="1"/>
    <w:qFormat w:val="1"/>
    <w:rsid w:val="007C7A0A"/>
    <w:pPr>
      <w:keepNext w:val="1"/>
      <w:spacing w:after="60" w:before="240"/>
      <w:outlineLvl w:val="1"/>
    </w:pPr>
    <w:rPr>
      <w:rFonts w:ascii="Cambria" w:eastAsia="Times New Roman" w:hAnsi="Cambria"/>
      <w:b w:val="1"/>
      <w:bCs w:val="1"/>
      <w:i w:val="1"/>
      <w:iCs w:val="1"/>
      <w:sz w:val="28"/>
      <w:szCs w:val="28"/>
    </w:rPr>
  </w:style>
  <w:style w:type="paragraph" w:styleId="Nagwek3">
    <w:name w:val="heading 3"/>
    <w:basedOn w:val="Normalny"/>
    <w:next w:val="Normalny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Nagwek4">
    <w:name w:val="heading 4"/>
    <w:basedOn w:val="Normalny"/>
    <w:next w:val="Normalny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unhideWhenUsed w:val="1"/>
    <w:qFormat w:val="1"/>
    <w:rsid w:val="00BF2BED"/>
    <w:pPr>
      <w:spacing w:after="60" w:before="240"/>
      <w:outlineLvl w:val="4"/>
    </w:pPr>
    <w:rPr>
      <w:rFonts w:eastAsia="Times New Roman"/>
      <w:b w:val="1"/>
      <w:bCs w:val="1"/>
      <w:i w:val="1"/>
      <w:iCs w:val="1"/>
      <w:sz w:val="26"/>
      <w:szCs w:val="26"/>
    </w:rPr>
  </w:style>
  <w:style w:type="paragraph" w:styleId="Nagwek6">
    <w:name w:val="heading 6"/>
    <w:basedOn w:val="Normalny"/>
    <w:next w:val="Normalny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omylnaczcionkaakapitu" w:default="1">
    <w:name w:val="Default Paragraph Font"/>
    <w:uiPriority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ytu">
    <w:name w:val="Title"/>
    <w:basedOn w:val="Normalny"/>
    <w:next w:val="Normalny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Tekstdymka">
    <w:name w:val="Balloon Text"/>
    <w:basedOn w:val="Normalny"/>
    <w:link w:val="TekstdymkaZnak"/>
    <w:uiPriority w:val="99"/>
    <w:semiHidden w:val="1"/>
    <w:unhideWhenUsed w:val="1"/>
    <w:rsid w:val="003D70EA"/>
    <w:pPr>
      <w:spacing w:after="0" w:line="240" w:lineRule="auto"/>
    </w:pPr>
    <w:rPr>
      <w:rFonts w:ascii="Tahoma" w:hAnsi="Tahoma"/>
      <w:sz w:val="16"/>
      <w:szCs w:val="16"/>
    </w:rPr>
  </w:style>
  <w:style w:type="character" w:styleId="TekstdymkaZnak" w:customStyle="1">
    <w:name w:val="Tekst dymka Znak"/>
    <w:link w:val="Tekstdymka"/>
    <w:uiPriority w:val="99"/>
    <w:semiHidden w:val="1"/>
    <w:rsid w:val="003D70EA"/>
    <w:rPr>
      <w:rFonts w:ascii="Tahoma" w:cs="Tahoma" w:hAnsi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 w:val="1"/>
    <w:rsid w:val="002B1588"/>
    <w:pPr>
      <w:tabs>
        <w:tab w:val="center" w:pos="4536"/>
        <w:tab w:val="right" w:pos="9072"/>
      </w:tabs>
    </w:pPr>
  </w:style>
  <w:style w:type="character" w:styleId="NagwekZnak" w:customStyle="1">
    <w:name w:val="Nagłówek Znak"/>
    <w:link w:val="Nagwek"/>
    <w:uiPriority w:val="99"/>
    <w:rsid w:val="002B1588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 w:val="1"/>
    <w:rsid w:val="002B1588"/>
    <w:pPr>
      <w:tabs>
        <w:tab w:val="center" w:pos="4536"/>
        <w:tab w:val="right" w:pos="9072"/>
      </w:tabs>
    </w:pPr>
  </w:style>
  <w:style w:type="character" w:styleId="StopkaZnak" w:customStyle="1">
    <w:name w:val="Stopka Znak"/>
    <w:link w:val="Stopka"/>
    <w:uiPriority w:val="99"/>
    <w:rsid w:val="002B1588"/>
    <w:rPr>
      <w:sz w:val="22"/>
      <w:szCs w:val="22"/>
      <w:lang w:eastAsia="en-US"/>
    </w:rPr>
  </w:style>
  <w:style w:type="paragraph" w:styleId="NormalParagraphStyle" w:customStyle="1">
    <w:name w:val="NormalParagraphStyle"/>
    <w:basedOn w:val="Normalny"/>
    <w:uiPriority w:val="99"/>
    <w:rsid w:val="002B158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/>
      <w:color w:val="000000"/>
      <w:sz w:val="24"/>
      <w:szCs w:val="24"/>
      <w:lang w:eastAsia="pl-PL"/>
    </w:rPr>
  </w:style>
  <w:style w:type="character" w:styleId="Nagwek1Znak" w:customStyle="1">
    <w:name w:val="Nagłówek 1 Znak"/>
    <w:link w:val="Nagwek1"/>
    <w:rsid w:val="00F85391"/>
    <w:rPr>
      <w:rFonts w:ascii="Times New Roman" w:cs="Tahoma" w:eastAsia="Lucida Sans Unicode" w:hAnsi="Times New Roman"/>
      <w:b w:val="1"/>
      <w:bCs w:val="1"/>
      <w:color w:val="000000"/>
      <w:sz w:val="48"/>
      <w:szCs w:val="48"/>
      <w:lang w:bidi="en-US" w:eastAsia="en-US" w:val="en-US"/>
    </w:rPr>
  </w:style>
  <w:style w:type="character" w:styleId="Hipercze">
    <w:name w:val="Hyperlink"/>
    <w:semiHidden w:val="1"/>
    <w:rsid w:val="00F85391"/>
    <w:rPr>
      <w:color w:val="000080"/>
      <w:u w:val="single"/>
    </w:rPr>
  </w:style>
  <w:style w:type="paragraph" w:styleId="Tekstpodstawowy">
    <w:name w:val="Body Text"/>
    <w:basedOn w:val="Normalny"/>
    <w:link w:val="TekstpodstawowyZnak"/>
    <w:semiHidden w:val="1"/>
    <w:rsid w:val="00F85391"/>
    <w:pPr>
      <w:widowControl w:val="0"/>
      <w:suppressAutoHyphens w:val="1"/>
      <w:spacing w:after="283" w:line="240" w:lineRule="auto"/>
    </w:pPr>
    <w:rPr>
      <w:rFonts w:ascii="Times New Roman" w:cs="Tahoma" w:eastAsia="Lucida Sans Unicode" w:hAnsi="Times New Roman"/>
      <w:color w:val="000000"/>
      <w:sz w:val="24"/>
      <w:szCs w:val="24"/>
      <w:lang w:bidi="en-US" w:val="en-US"/>
    </w:rPr>
  </w:style>
  <w:style w:type="character" w:styleId="TekstpodstawowyZnak" w:customStyle="1">
    <w:name w:val="Tekst podstawowy Znak"/>
    <w:link w:val="Tekstpodstawowy"/>
    <w:semiHidden w:val="1"/>
    <w:rsid w:val="00F85391"/>
    <w:rPr>
      <w:rFonts w:ascii="Times New Roman" w:cs="Tahoma" w:eastAsia="Lucida Sans Unicode" w:hAnsi="Times New Roman"/>
      <w:color w:val="000000"/>
      <w:sz w:val="24"/>
      <w:szCs w:val="24"/>
      <w:lang w:bidi="en-US" w:eastAsia="en-US" w:val="en-US"/>
    </w:rPr>
  </w:style>
  <w:style w:type="paragraph" w:styleId="text" w:customStyle="1">
    <w:name w:val="text"/>
    <w:basedOn w:val="Normalny"/>
    <w:rsid w:val="00127AB0"/>
    <w:pPr>
      <w:spacing w:after="100" w:afterAutospacing="1" w:before="100" w:before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 w:val="1"/>
    <w:rsid w:val="00127AB0"/>
    <w:rPr>
      <w:b w:val="1"/>
      <w:bCs w:val="1"/>
    </w:rPr>
  </w:style>
  <w:style w:type="character" w:styleId="Uwydatnienie">
    <w:name w:val="Emphasis"/>
    <w:uiPriority w:val="20"/>
    <w:qFormat w:val="1"/>
    <w:rsid w:val="00127AB0"/>
    <w:rPr>
      <w:i w:val="1"/>
      <w:iCs w:val="1"/>
    </w:rPr>
  </w:style>
  <w:style w:type="paragraph" w:styleId="NormalnyWeb">
    <w:name w:val="Normal (Web)"/>
    <w:basedOn w:val="Normalny"/>
    <w:uiPriority w:val="99"/>
    <w:semiHidden w:val="1"/>
    <w:rsid w:val="00127AB0"/>
    <w:pPr>
      <w:spacing w:after="100" w:afterAutospacing="1" w:before="100" w:before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Nagwek5Znak" w:customStyle="1">
    <w:name w:val="Nagłówek 5 Znak"/>
    <w:link w:val="Nagwek5"/>
    <w:uiPriority w:val="9"/>
    <w:rsid w:val="00BF2BED"/>
    <w:rPr>
      <w:rFonts w:ascii="Calibri" w:cs="Times New Roman" w:eastAsia="Times New Roman" w:hAnsi="Calibri"/>
      <w:b w:val="1"/>
      <w:bCs w:val="1"/>
      <w:i w:val="1"/>
      <w:iCs w:val="1"/>
      <w:sz w:val="26"/>
      <w:szCs w:val="26"/>
      <w:lang w:eastAsia="en-US"/>
    </w:rPr>
  </w:style>
  <w:style w:type="paragraph" w:styleId="Data">
    <w:name w:val="Date"/>
    <w:basedOn w:val="Normalny"/>
    <w:next w:val="Normalny"/>
    <w:link w:val="DataZnak"/>
    <w:uiPriority w:val="99"/>
    <w:semiHidden w:val="1"/>
    <w:unhideWhenUsed w:val="1"/>
    <w:rsid w:val="0003772A"/>
  </w:style>
  <w:style w:type="character" w:styleId="DataZnak" w:customStyle="1">
    <w:name w:val="Data Znak"/>
    <w:link w:val="Data"/>
    <w:uiPriority w:val="99"/>
    <w:semiHidden w:val="1"/>
    <w:rsid w:val="0003772A"/>
    <w:rPr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394067"/>
    <w:tblPr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</w:style>
  <w:style w:type="paragraph" w:styleId="Bezodstpw">
    <w:name w:val="No Spacing"/>
    <w:uiPriority w:val="1"/>
    <w:qFormat w:val="1"/>
    <w:rsid w:val="009A72D7"/>
    <w:rPr>
      <w:lang w:eastAsia="en-US"/>
    </w:rPr>
  </w:style>
  <w:style w:type="paragraph" w:styleId="Akapitzlist">
    <w:name w:val="List Paragraph"/>
    <w:basedOn w:val="Normalny"/>
    <w:uiPriority w:val="34"/>
    <w:qFormat w:val="1"/>
    <w:rsid w:val="00EF798F"/>
    <w:pPr>
      <w:spacing w:after="0" w:line="240" w:lineRule="auto"/>
      <w:ind w:left="720"/>
      <w:contextualSpacing w:val="1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Default" w:customStyle="1">
    <w:name w:val="Default"/>
    <w:rsid w:val="00395AF5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character" w:styleId="Nagwek2Znak" w:customStyle="1">
    <w:name w:val="Nagłówek 2 Znak"/>
    <w:link w:val="Nagwek2"/>
    <w:uiPriority w:val="9"/>
    <w:semiHidden w:val="1"/>
    <w:rsid w:val="007C7A0A"/>
    <w:rPr>
      <w:rFonts w:ascii="Cambria" w:cs="Times New Roman" w:eastAsia="Times New Roman" w:hAnsi="Cambria"/>
      <w:b w:val="1"/>
      <w:bCs w:val="1"/>
      <w:i w:val="1"/>
      <w:iCs w:val="1"/>
      <w:sz w:val="28"/>
      <w:szCs w:val="28"/>
      <w:lang w:eastAsia="en-US"/>
    </w:rPr>
  </w:style>
  <w:style w:type="character" w:styleId="Odwoaniedokomentarza">
    <w:name w:val="annotation reference"/>
    <w:basedOn w:val="Domylnaczcionkaakapitu"/>
    <w:uiPriority w:val="99"/>
    <w:semiHidden w:val="1"/>
    <w:unhideWhenUsed w:val="1"/>
    <w:rsid w:val="001B5AC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 w:val="1"/>
    <w:unhideWhenUsed w:val="1"/>
    <w:rsid w:val="001B5ACA"/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semiHidden w:val="1"/>
    <w:rsid w:val="001B5AC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 w:val="1"/>
    <w:unhideWhenUsed w:val="1"/>
    <w:rsid w:val="001B5ACA"/>
    <w:rPr>
      <w:b w:val="1"/>
      <w:bCs w:val="1"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 w:val="1"/>
    <w:rsid w:val="001B5ACA"/>
    <w:rPr>
      <w:b w:val="1"/>
      <w:bCs w:val="1"/>
      <w:lang w:eastAsia="en-US"/>
    </w:rPr>
  </w:style>
  <w:style w:type="paragraph" w:styleId="Poprawka">
    <w:name w:val="Revision"/>
    <w:hidden w:val="1"/>
    <w:uiPriority w:val="99"/>
    <w:semiHidden w:val="1"/>
    <w:rsid w:val="001B5ACA"/>
    <w:rPr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 w:val="1"/>
    <w:unhideWhenUsed w:val="1"/>
    <w:rsid w:val="00F35492"/>
    <w:pPr>
      <w:spacing w:after="0" w:line="240" w:lineRule="auto"/>
    </w:pPr>
    <w:rPr>
      <w:sz w:val="20"/>
      <w:szCs w:val="20"/>
    </w:rPr>
  </w:style>
  <w:style w:type="character" w:styleId="TekstprzypisudolnegoZnak" w:customStyle="1">
    <w:name w:val="Tekst przypisu dolnego Znak"/>
    <w:basedOn w:val="Domylnaczcionkaakapitu"/>
    <w:link w:val="Tekstprzypisudolnego"/>
    <w:uiPriority w:val="99"/>
    <w:semiHidden w:val="1"/>
    <w:rsid w:val="00F35492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 w:val="1"/>
    <w:unhideWhenUsed w:val="1"/>
    <w:rsid w:val="00F35492"/>
    <w:rPr>
      <w:vertAlign w:val="superscript"/>
    </w:rPr>
  </w:style>
  <w:style w:type="paragraph" w:styleId="Podtytu">
    <w:name w:val="Subtitle"/>
    <w:basedOn w:val="Normalny"/>
    <w:next w:val="Normalny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mailto:erasmus@asp.gda.pl" TargetMode="External"/><Relationship Id="rId10" Type="http://schemas.openxmlformats.org/officeDocument/2006/relationships/hyperlink" Target="mailto:erasmus@asp.gda.pl" TargetMode="External"/><Relationship Id="rId13" Type="http://schemas.openxmlformats.org/officeDocument/2006/relationships/footer" Target="footer1.xml"/><Relationship Id="rId12" Type="http://schemas.openxmlformats.org/officeDocument/2006/relationships/header" Target="head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nfz.gov.pl" TargetMode="Externa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yperlink" Target="https://erasmus-plus.ec.europa.eu/resources-and-tools/distance-calculator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aCfn8cPOf26bVjjTthXuiAbp/g==">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2020-01-23T18:18:00Z</dcterms:created>
  <dc:creator>Aleksandra Kaminska</dc:creator>
</cp:coreProperties>
</file>